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07A0FAEA" w:rsidR="003902B2" w:rsidRPr="007C62B4" w:rsidRDefault="003902B2" w:rsidP="003902B2">
            <w:pPr>
              <w:pStyle w:val="Continuoustext"/>
            </w:pPr>
            <w:r>
              <w:rPr>
                <w:lang w:val="en-US"/>
              </w:rPr>
              <w:t xml:space="preserve">news +++ PCIM </w:t>
            </w:r>
            <w:r>
              <w:rPr>
                <w:lang w:val="en-US"/>
              </w:rPr>
              <w:br/>
              <w:t>Nuremberg, 9–11 June 2026</w:t>
            </w:r>
            <w:r>
              <w:rPr>
                <w:lang w:val="en-US"/>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pPr>
            <w:bookmarkStart w:id="0" w:name="_Hlk43896002"/>
            <w:r>
              <w:rPr>
                <w:noProof/>
                <w:lang w:val="en-US"/>
              </w:rPr>
              <w:drawing>
                <wp:inline distT="0" distB="0" distL="0" distR="0" wp14:anchorId="73FFA675" wp14:editId="3D10B6D9">
                  <wp:extent cx="885139" cy="426110"/>
                  <wp:effectExtent l="0" t="0" r="0" b="0"/>
                  <wp:docPr id="3" name="Grafik 3"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2079026" w14:textId="77777777" w:rsidR="001432C2" w:rsidRPr="006E3D19" w:rsidRDefault="001432C2" w:rsidP="001432C2">
      <w:pPr>
        <w:pStyle w:val="berschrift2"/>
      </w:pPr>
      <w:bookmarkStart w:id="1" w:name="kthema4"/>
      <w:bookmarkEnd w:id="0"/>
      <w:bookmarkEnd w:id="1"/>
      <w:r>
        <w:rPr>
          <w:lang w:val="en-US"/>
        </w:rPr>
        <w:t xml:space="preserve">Over 500 presentations from industry and science expected at PCIM Conference 2026 </w:t>
      </w:r>
    </w:p>
    <w:p w14:paraId="121F1B7C" w14:textId="2EFE35F4" w:rsidR="001432C2" w:rsidRPr="001432C2" w:rsidRDefault="001432C2" w:rsidP="001432C2">
      <w:pPr>
        <w:pStyle w:val="Readup"/>
      </w:pPr>
      <w:r>
        <w:rPr>
          <w:lang w:val="en-US"/>
        </w:rPr>
        <w:t>Stuttgart, 19 February 2026. From 9–11 June 2026, the PCIM Conference will once again bring together the leading minds in power electronics and offer real-life experiences of future trends and innovations. This event has always been of vital importance to the surrounding industry, and it is set to demonstrate why by breaking a record in 2026: Participants can look forward to an extensive line-up of</w:t>
      </w:r>
      <w:r w:rsidR="00563075">
        <w:rPr>
          <w:lang w:val="en-US"/>
        </w:rPr>
        <w:t xml:space="preserve"> </w:t>
      </w:r>
      <w:r>
        <w:rPr>
          <w:lang w:val="en-US"/>
        </w:rPr>
        <w:t>first-rate talks and poster presentations – including numerous first publications from industry and science – that will surpass 500 for the first time. Those in attendance will thus benefit from first-hand expert knowledge all along the value chain in power electronics.</w:t>
      </w:r>
    </w:p>
    <w:p w14:paraId="3756D2CE" w14:textId="78D32E5B" w:rsidR="00443F19" w:rsidRPr="00563075" w:rsidRDefault="00443F19" w:rsidP="00443F19">
      <w:pPr>
        <w:pStyle w:val="Continuoustext"/>
        <w:rPr>
          <w:lang w:val="en-US"/>
        </w:rPr>
      </w:pPr>
      <w:r>
        <w:rPr>
          <w:lang w:val="en-US"/>
        </w:rPr>
        <w:t>Conference participants and trade fair visitors will also receive free access to the PCIM poster sessions, which will take place in Hall 4A. Offering another ideal setting for engaging with experts in person, these sessions present the latest research results, including on IGBT devices, device robustness, novel materials and thermal management, and the modeling and simulation of power electronics systems.</w:t>
      </w:r>
    </w:p>
    <w:p w14:paraId="4E6D4019" w14:textId="02F21C70" w:rsidR="0078718F" w:rsidRPr="00563075" w:rsidRDefault="00443F19" w:rsidP="006A698F">
      <w:pPr>
        <w:pStyle w:val="Continuoustext"/>
        <w:rPr>
          <w:lang w:val="en-US"/>
        </w:rPr>
      </w:pPr>
      <w:r>
        <w:rPr>
          <w:lang w:val="en-US"/>
        </w:rPr>
        <w:t xml:space="preserve">This year, the conference will take place for the first time in NCC Ost at Nuremberg’s exhibition center. </w:t>
      </w:r>
    </w:p>
    <w:p w14:paraId="73821B49" w14:textId="31FDE7E3" w:rsidR="007F69A9" w:rsidRPr="00443F19" w:rsidRDefault="00443F19" w:rsidP="00701D02">
      <w:pPr>
        <w:pStyle w:val="berschrift3"/>
      </w:pPr>
      <w:r>
        <w:rPr>
          <w:bCs/>
          <w:lang w:val="en-US"/>
        </w:rPr>
        <w:t xml:space="preserve">Keynote speeches </w:t>
      </w:r>
      <w:r>
        <w:rPr>
          <w:rFonts w:ascii="Arial" w:hAnsi="Arial"/>
          <w:bCs/>
          <w:color w:val="000000"/>
          <w:szCs w:val="28"/>
          <w:lang w:val="en-US"/>
        </w:rPr>
        <w:t>–</w:t>
      </w:r>
      <w:r>
        <w:rPr>
          <w:bCs/>
          <w:lang w:val="en-US"/>
        </w:rPr>
        <w:t xml:space="preserve"> artificial intelligence in focus</w:t>
      </w:r>
    </w:p>
    <w:p w14:paraId="615DAEF0" w14:textId="3006EB1F" w:rsidR="0078718F" w:rsidRPr="00563075" w:rsidRDefault="00443F19" w:rsidP="00F944A0">
      <w:pPr>
        <w:pStyle w:val="Continuoustext"/>
        <w:rPr>
          <w:lang w:val="en-US"/>
        </w:rPr>
      </w:pPr>
      <w:r>
        <w:rPr>
          <w:szCs w:val="22"/>
          <w:lang w:val="en-US"/>
        </w:rPr>
        <w:t>The keynote speeches held at the start of each day are always a special highlight of the PCIM Conference. Participants will have the chance to attend inspiring, first-class presentations that will focus on current innovative and pioneering topics in the industry</w:t>
      </w:r>
      <w:r>
        <w:rPr>
          <w:lang w:val="en-US"/>
        </w:rPr>
        <w:t>.</w:t>
      </w:r>
    </w:p>
    <w:p w14:paraId="0458A4D5" w14:textId="77777777" w:rsidR="00443F19" w:rsidRPr="00563075" w:rsidRDefault="00443F19" w:rsidP="00443F19">
      <w:pPr>
        <w:pStyle w:val="Continuoustext"/>
        <w:rPr>
          <w:szCs w:val="22"/>
          <w:lang w:val="en-US"/>
        </w:rPr>
      </w:pPr>
      <w:r>
        <w:rPr>
          <w:szCs w:val="22"/>
          <w:lang w:val="en-US"/>
        </w:rPr>
        <w:t xml:space="preserve">9 June 2026: </w:t>
      </w:r>
      <w:r>
        <w:rPr>
          <w:szCs w:val="22"/>
          <w:lang w:val="en-US"/>
        </w:rPr>
        <w:br/>
        <w:t xml:space="preserve">"The </w:t>
      </w:r>
      <w:proofErr w:type="spellStart"/>
      <w:r>
        <w:rPr>
          <w:szCs w:val="22"/>
          <w:lang w:val="en-US"/>
        </w:rPr>
        <w:t>GaN</w:t>
      </w:r>
      <w:proofErr w:type="spellEnd"/>
      <w:r>
        <w:rPr>
          <w:szCs w:val="22"/>
          <w:lang w:val="en-US"/>
        </w:rPr>
        <w:t xml:space="preserve"> Evolution: Lateral, Vertical, and Bidirectional – What's Next?" </w:t>
      </w:r>
      <w:r>
        <w:rPr>
          <w:szCs w:val="22"/>
          <w:lang w:val="en-US"/>
        </w:rPr>
        <w:br/>
        <w:t>Michael Basler (Fraunhofer IAF)</w:t>
      </w:r>
    </w:p>
    <w:p w14:paraId="35BF8C9B" w14:textId="77777777" w:rsidR="00443F19" w:rsidRPr="00563075" w:rsidRDefault="00443F19" w:rsidP="00443F19">
      <w:pPr>
        <w:pStyle w:val="Continuoustext"/>
        <w:rPr>
          <w:szCs w:val="22"/>
          <w:lang w:val="en-US"/>
        </w:rPr>
      </w:pPr>
      <w:r>
        <w:rPr>
          <w:szCs w:val="22"/>
          <w:lang w:val="en-US"/>
        </w:rPr>
        <w:t>10 June 2026:</w:t>
      </w:r>
      <w:r>
        <w:rPr>
          <w:szCs w:val="22"/>
          <w:lang w:val="en-US"/>
        </w:rPr>
        <w:br/>
        <w:t xml:space="preserve">"AI Meets Power Electronics: Are We There Yet?" </w:t>
      </w:r>
      <w:r>
        <w:rPr>
          <w:szCs w:val="22"/>
          <w:lang w:val="en-US"/>
        </w:rPr>
        <w:br/>
        <w:t>Uwe Drofenik (Vienna University of Technology)</w:t>
      </w:r>
    </w:p>
    <w:p w14:paraId="6123934A" w14:textId="3405F5F0" w:rsidR="00443F19" w:rsidRPr="00563075" w:rsidRDefault="00443F19" w:rsidP="00443F19">
      <w:pPr>
        <w:pStyle w:val="Continuoustext"/>
        <w:rPr>
          <w:szCs w:val="22"/>
          <w:lang w:val="en-US"/>
        </w:rPr>
      </w:pPr>
      <w:r>
        <w:rPr>
          <w:szCs w:val="22"/>
          <w:lang w:val="en-US"/>
        </w:rPr>
        <w:t>11 June 2026:</w:t>
      </w:r>
      <w:r>
        <w:rPr>
          <w:szCs w:val="22"/>
          <w:lang w:val="en-US"/>
        </w:rPr>
        <w:br/>
        <w:t>“</w:t>
      </w:r>
      <w:proofErr w:type="spellStart"/>
      <w:r>
        <w:rPr>
          <w:szCs w:val="22"/>
          <w:lang w:val="en-US"/>
        </w:rPr>
        <w:t>Transformerless</w:t>
      </w:r>
      <w:proofErr w:type="spellEnd"/>
      <w:r>
        <w:rPr>
          <w:szCs w:val="22"/>
          <w:lang w:val="en-US"/>
        </w:rPr>
        <w:t xml:space="preserve"> Partial Power Converters: Disruptive Solutions to Reduce Losses, Costs, and Volume" </w:t>
      </w:r>
      <w:r>
        <w:rPr>
          <w:szCs w:val="22"/>
          <w:lang w:val="en-US"/>
        </w:rPr>
        <w:br/>
        <w:t>Thierry Meynard (Laplace – CNRS)</w:t>
      </w:r>
    </w:p>
    <w:p w14:paraId="5D36E613" w14:textId="5E7D6F4D" w:rsidR="00443F19" w:rsidRPr="00443F19" w:rsidRDefault="00443F19" w:rsidP="00443F19">
      <w:pPr>
        <w:pStyle w:val="berschrift3"/>
      </w:pPr>
      <w:r>
        <w:rPr>
          <w:bCs/>
          <w:lang w:val="en-US"/>
        </w:rPr>
        <w:lastRenderedPageBreak/>
        <w:t>Dive into key subjects at special sessions</w:t>
      </w:r>
    </w:p>
    <w:p w14:paraId="056C6CE1" w14:textId="4F63A729" w:rsidR="00443F19" w:rsidRPr="00563075" w:rsidRDefault="00443F19" w:rsidP="00443F19">
      <w:pPr>
        <w:pStyle w:val="Continuoustext"/>
        <w:rPr>
          <w:lang w:val="en-US"/>
        </w:rPr>
      </w:pPr>
      <w:r>
        <w:rPr>
          <w:lang w:val="en-US"/>
        </w:rPr>
        <w:t>In addition to a special session entitled "Artificial Intelligence in Power Electronics" on the second day of the conference, two further sessions are scheduled for 11 June. From 9:50 to 11:10 a.m., the topic</w:t>
      </w:r>
      <w:r w:rsidR="00C25190">
        <w:rPr>
          <w:lang w:val="en-US"/>
        </w:rPr>
        <w:t xml:space="preserve"> will be</w:t>
      </w:r>
      <w:r>
        <w:rPr>
          <w:lang w:val="en-US"/>
        </w:rPr>
        <w:t xml:space="preserve"> "</w:t>
      </w:r>
      <w:proofErr w:type="spellStart"/>
      <w:r>
        <w:rPr>
          <w:lang w:val="en-US"/>
        </w:rPr>
        <w:t>GaNius</w:t>
      </w:r>
      <w:proofErr w:type="spellEnd"/>
      <w:r>
        <w:rPr>
          <w:lang w:val="en-US"/>
        </w:rPr>
        <w:t xml:space="preserve">”. </w:t>
      </w:r>
      <w:r w:rsidR="00563075">
        <w:rPr>
          <w:lang w:val="en-US"/>
        </w:rPr>
        <w:t>When used as a semiconductor material, g</w:t>
      </w:r>
      <w:r>
        <w:rPr>
          <w:lang w:val="en-US"/>
        </w:rPr>
        <w:t>allium nitride (</w:t>
      </w:r>
      <w:proofErr w:type="spellStart"/>
      <w:r>
        <w:rPr>
          <w:lang w:val="en-US"/>
        </w:rPr>
        <w:t>GaN</w:t>
      </w:r>
      <w:proofErr w:type="spellEnd"/>
      <w:r>
        <w:rPr>
          <w:lang w:val="en-US"/>
        </w:rPr>
        <w:t>) opens up all-new possibilities when it comes to building and integrating circuits for high-frequency power electronics components and efficient, highly compact systems. "</w:t>
      </w:r>
      <w:proofErr w:type="spellStart"/>
      <w:r>
        <w:rPr>
          <w:lang w:val="en-US"/>
        </w:rPr>
        <w:t>GaNius</w:t>
      </w:r>
      <w:proofErr w:type="spellEnd"/>
      <w:r>
        <w:rPr>
          <w:lang w:val="en-US"/>
        </w:rPr>
        <w:t>" is also the name of a priority program of the German Research Foundation (DFG).</w:t>
      </w:r>
    </w:p>
    <w:p w14:paraId="2B99B707" w14:textId="77777777" w:rsidR="00443F19" w:rsidRPr="00563075" w:rsidRDefault="00443F19" w:rsidP="00443F19">
      <w:pPr>
        <w:pStyle w:val="Continuoustext"/>
        <w:rPr>
          <w:lang w:val="en-US"/>
        </w:rPr>
      </w:pPr>
      <w:r>
        <w:rPr>
          <w:lang w:val="en-US"/>
        </w:rPr>
        <w:t>During the same time slot, a special session on "Power Continuity vs. Power Quality – AI Data Centers” will be moderated by Lorenzo Giuntini (ABB).</w:t>
      </w:r>
    </w:p>
    <w:p w14:paraId="19370AB7" w14:textId="32F51BD4" w:rsidR="00443F19" w:rsidRPr="00443F19" w:rsidRDefault="00443F19" w:rsidP="00443F19">
      <w:pPr>
        <w:pStyle w:val="berschrift3"/>
      </w:pPr>
      <w:r>
        <w:rPr>
          <w:bCs/>
          <w:lang w:val="en-US"/>
        </w:rPr>
        <w:t>First publications from industry and science</w:t>
      </w:r>
    </w:p>
    <w:p w14:paraId="434EF67E" w14:textId="77777777" w:rsidR="00443F19" w:rsidRDefault="00443F19" w:rsidP="00443F19">
      <w:pPr>
        <w:rPr>
          <w:rFonts w:ascii="Arial" w:hAnsi="Arial" w:cs="Arial"/>
        </w:rPr>
      </w:pPr>
      <w:r>
        <w:rPr>
          <w:rFonts w:ascii="Arial" w:hAnsi="Arial" w:cs="Arial"/>
          <w:lang w:val="en-US"/>
        </w:rPr>
        <w:t>The PCIM Conference typically features numerous first publications from industry and science, making it a central platform for sharing knowledge and presenting the latest exciting developments. Conference participants can look forward to myriad program highlights and trending topics, such as:</w:t>
      </w:r>
    </w:p>
    <w:p w14:paraId="4403AB02" w14:textId="77777777" w:rsidR="00443F19" w:rsidRPr="00443F19" w:rsidRDefault="00443F19" w:rsidP="00443F19">
      <w:pPr>
        <w:rPr>
          <w:rFonts w:ascii="Arial" w:hAnsi="Arial" w:cs="Arial"/>
        </w:rPr>
      </w:pPr>
    </w:p>
    <w:p w14:paraId="47531411" w14:textId="77777777" w:rsidR="00443F19" w:rsidRPr="00E90257" w:rsidRDefault="00443F19" w:rsidP="00443F19">
      <w:pPr>
        <w:pStyle w:val="Listenabsatz"/>
        <w:numPr>
          <w:ilvl w:val="0"/>
          <w:numId w:val="1"/>
        </w:numPr>
        <w:spacing w:after="160" w:line="278" w:lineRule="auto"/>
        <w:ind w:right="0"/>
        <w:rPr>
          <w:rFonts w:ascii="Arial" w:hAnsi="Arial" w:cs="Arial"/>
        </w:rPr>
      </w:pPr>
      <w:r>
        <w:rPr>
          <w:rFonts w:ascii="Arial" w:hAnsi="Arial" w:cs="Arial"/>
          <w:lang w:val="en-US"/>
        </w:rPr>
        <w:t xml:space="preserve">Consolidation in </w:t>
      </w:r>
      <w:proofErr w:type="spellStart"/>
      <w:r>
        <w:rPr>
          <w:rFonts w:ascii="Arial" w:hAnsi="Arial" w:cs="Arial"/>
          <w:lang w:val="en-US"/>
        </w:rPr>
        <w:t>SiC</w:t>
      </w:r>
      <w:proofErr w:type="spellEnd"/>
      <w:r>
        <w:rPr>
          <w:rFonts w:ascii="Arial" w:hAnsi="Arial" w:cs="Arial"/>
          <w:lang w:val="en-US"/>
        </w:rPr>
        <w:t xml:space="preserve"> power semiconductors  </w:t>
      </w:r>
    </w:p>
    <w:p w14:paraId="5935B747" w14:textId="77777777" w:rsidR="00443F19" w:rsidRPr="00E90257" w:rsidRDefault="00443F19" w:rsidP="00443F19">
      <w:pPr>
        <w:pStyle w:val="Listenabsatz"/>
        <w:numPr>
          <w:ilvl w:val="0"/>
          <w:numId w:val="1"/>
        </w:numPr>
        <w:spacing w:after="160" w:line="278" w:lineRule="auto"/>
        <w:ind w:right="0"/>
        <w:rPr>
          <w:rFonts w:ascii="Arial" w:hAnsi="Arial" w:cs="Arial"/>
        </w:rPr>
      </w:pPr>
      <w:r>
        <w:rPr>
          <w:rFonts w:ascii="Arial" w:hAnsi="Arial" w:cs="Arial"/>
          <w:lang w:val="en-US"/>
        </w:rPr>
        <w:t xml:space="preserve">Bidirectional </w:t>
      </w:r>
      <w:proofErr w:type="spellStart"/>
      <w:r>
        <w:rPr>
          <w:rFonts w:ascii="Arial" w:hAnsi="Arial" w:cs="Arial"/>
          <w:lang w:val="en-US"/>
        </w:rPr>
        <w:t>GaN</w:t>
      </w:r>
      <w:proofErr w:type="spellEnd"/>
      <w:r>
        <w:rPr>
          <w:rFonts w:ascii="Arial" w:hAnsi="Arial" w:cs="Arial"/>
          <w:lang w:val="en-US"/>
        </w:rPr>
        <w:t xml:space="preserve"> switches </w:t>
      </w:r>
    </w:p>
    <w:p w14:paraId="7CC4F63B" w14:textId="77777777" w:rsidR="00443F19" w:rsidRPr="00563075" w:rsidRDefault="00443F19" w:rsidP="00443F19">
      <w:pPr>
        <w:pStyle w:val="Listenabsatz"/>
        <w:numPr>
          <w:ilvl w:val="0"/>
          <w:numId w:val="1"/>
        </w:numPr>
        <w:spacing w:after="160" w:line="278" w:lineRule="auto"/>
        <w:ind w:right="0"/>
        <w:rPr>
          <w:rFonts w:ascii="Arial" w:hAnsi="Arial" w:cs="Arial"/>
          <w:lang w:val="en-US"/>
        </w:rPr>
      </w:pPr>
      <w:proofErr w:type="spellStart"/>
      <w:r>
        <w:rPr>
          <w:rFonts w:ascii="Arial" w:hAnsi="Arial" w:cs="Arial"/>
          <w:lang w:val="en-US"/>
        </w:rPr>
        <w:t>SiC</w:t>
      </w:r>
      <w:proofErr w:type="spellEnd"/>
      <w:r>
        <w:rPr>
          <w:rFonts w:ascii="Arial" w:hAnsi="Arial" w:cs="Arial"/>
          <w:lang w:val="en-US"/>
        </w:rPr>
        <w:t xml:space="preserve"> </w:t>
      </w:r>
      <w:proofErr w:type="spellStart"/>
      <w:r>
        <w:rPr>
          <w:rFonts w:ascii="Arial" w:hAnsi="Arial" w:cs="Arial"/>
          <w:lang w:val="en-US"/>
        </w:rPr>
        <w:t>superjunction</w:t>
      </w:r>
      <w:proofErr w:type="spellEnd"/>
      <w:r>
        <w:rPr>
          <w:rFonts w:ascii="Arial" w:hAnsi="Arial" w:cs="Arial"/>
          <w:lang w:val="en-US"/>
        </w:rPr>
        <w:t xml:space="preserve"> devices – a new breakthrough for the next generation of power transistors</w:t>
      </w:r>
    </w:p>
    <w:p w14:paraId="2B2734AA" w14:textId="77777777" w:rsidR="00443F19" w:rsidRPr="00563075" w:rsidRDefault="00443F19" w:rsidP="00443F19">
      <w:pPr>
        <w:pStyle w:val="Listenabsatz"/>
        <w:numPr>
          <w:ilvl w:val="0"/>
          <w:numId w:val="1"/>
        </w:numPr>
        <w:spacing w:after="160" w:line="278" w:lineRule="auto"/>
        <w:ind w:right="0"/>
        <w:rPr>
          <w:rFonts w:ascii="Arial" w:hAnsi="Arial" w:cs="Arial"/>
          <w:lang w:val="en-US"/>
        </w:rPr>
      </w:pPr>
      <w:r>
        <w:rPr>
          <w:rFonts w:ascii="Arial" w:hAnsi="Arial" w:cs="Arial"/>
          <w:lang w:val="en-US"/>
        </w:rPr>
        <w:t>From standard p-</w:t>
      </w:r>
      <w:proofErr w:type="spellStart"/>
      <w:r>
        <w:rPr>
          <w:rFonts w:ascii="Arial" w:hAnsi="Arial" w:cs="Arial"/>
          <w:lang w:val="en-US"/>
        </w:rPr>
        <w:t>GaN</w:t>
      </w:r>
      <w:proofErr w:type="spellEnd"/>
      <w:r>
        <w:rPr>
          <w:rFonts w:ascii="Arial" w:hAnsi="Arial" w:cs="Arial"/>
          <w:lang w:val="en-US"/>
        </w:rPr>
        <w:t xml:space="preserve"> to bidirectional </w:t>
      </w:r>
      <w:proofErr w:type="spellStart"/>
      <w:r>
        <w:rPr>
          <w:rFonts w:ascii="Arial" w:hAnsi="Arial" w:cs="Arial"/>
          <w:lang w:val="en-US"/>
        </w:rPr>
        <w:t>GaN</w:t>
      </w:r>
      <w:proofErr w:type="spellEnd"/>
      <w:r>
        <w:rPr>
          <w:rFonts w:ascii="Arial" w:hAnsi="Arial" w:cs="Arial"/>
          <w:lang w:val="en-US"/>
        </w:rPr>
        <w:t xml:space="preserve"> and common-source p-</w:t>
      </w:r>
      <w:proofErr w:type="spellStart"/>
      <w:r>
        <w:rPr>
          <w:rFonts w:ascii="Arial" w:hAnsi="Arial" w:cs="Arial"/>
          <w:lang w:val="en-US"/>
        </w:rPr>
        <w:t>GaN</w:t>
      </w:r>
      <w:proofErr w:type="spellEnd"/>
      <w:r>
        <w:rPr>
          <w:rFonts w:ascii="Arial" w:hAnsi="Arial" w:cs="Arial"/>
          <w:lang w:val="en-US"/>
        </w:rPr>
        <w:t xml:space="preserve"> BDS</w:t>
      </w:r>
    </w:p>
    <w:p w14:paraId="1A1C21B8" w14:textId="77777777" w:rsidR="00443F19" w:rsidRPr="00563075" w:rsidRDefault="00443F19" w:rsidP="00443F19">
      <w:pPr>
        <w:pStyle w:val="Listenabsatz"/>
        <w:numPr>
          <w:ilvl w:val="0"/>
          <w:numId w:val="1"/>
        </w:numPr>
        <w:spacing w:after="160" w:line="278" w:lineRule="auto"/>
        <w:ind w:right="0"/>
        <w:rPr>
          <w:rFonts w:ascii="Arial" w:hAnsi="Arial" w:cs="Arial"/>
          <w:lang w:val="en-US"/>
        </w:rPr>
      </w:pPr>
      <w:r>
        <w:rPr>
          <w:rFonts w:ascii="Arial" w:hAnsi="Arial" w:cs="Arial"/>
          <w:lang w:val="en-US"/>
        </w:rPr>
        <w:t>New capacitors for operation at high temperatures</w:t>
      </w:r>
    </w:p>
    <w:p w14:paraId="44466004" w14:textId="77777777" w:rsidR="00443F19" w:rsidRPr="00563075" w:rsidRDefault="00443F19" w:rsidP="00443F19">
      <w:pPr>
        <w:pStyle w:val="Listenabsatz"/>
        <w:numPr>
          <w:ilvl w:val="0"/>
          <w:numId w:val="1"/>
        </w:numPr>
        <w:spacing w:after="160" w:line="278" w:lineRule="auto"/>
        <w:ind w:right="0"/>
        <w:rPr>
          <w:rFonts w:ascii="Arial" w:hAnsi="Arial" w:cs="Arial"/>
          <w:lang w:val="en-US"/>
        </w:rPr>
      </w:pPr>
      <w:r>
        <w:rPr>
          <w:rFonts w:ascii="Arial" w:hAnsi="Arial" w:cs="Arial"/>
          <w:lang w:val="en-US"/>
        </w:rPr>
        <w:t xml:space="preserve">New integrated sensors for circuit protection </w:t>
      </w:r>
    </w:p>
    <w:p w14:paraId="5ADE60EE" w14:textId="77777777" w:rsidR="00443F19" w:rsidRPr="00563075" w:rsidRDefault="00443F19" w:rsidP="00443F19">
      <w:pPr>
        <w:pStyle w:val="Listenabsatz"/>
        <w:numPr>
          <w:ilvl w:val="0"/>
          <w:numId w:val="1"/>
        </w:numPr>
        <w:spacing w:after="160" w:line="278" w:lineRule="auto"/>
        <w:ind w:right="0"/>
        <w:rPr>
          <w:rFonts w:ascii="Arial" w:hAnsi="Arial" w:cs="Arial"/>
          <w:lang w:val="en-US"/>
        </w:rPr>
      </w:pPr>
      <w:r>
        <w:rPr>
          <w:rFonts w:ascii="Arial" w:hAnsi="Arial" w:cs="Arial"/>
          <w:lang w:val="en-US"/>
        </w:rPr>
        <w:t>A new development involving JFETs for DC circuit breakers</w:t>
      </w:r>
    </w:p>
    <w:p w14:paraId="20395E62" w14:textId="56C46D17" w:rsidR="00443F19" w:rsidRPr="00443F19" w:rsidRDefault="00443F19" w:rsidP="00443F19">
      <w:pPr>
        <w:rPr>
          <w:rFonts w:ascii="Arial" w:hAnsi="Arial" w:cs="Arial"/>
        </w:rPr>
      </w:pPr>
      <w:r>
        <w:rPr>
          <w:rFonts w:ascii="Arial" w:hAnsi="Arial" w:cs="Arial"/>
          <w:lang w:val="en-US"/>
        </w:rPr>
        <w:t xml:space="preserve">The industry focus will be on </w:t>
      </w:r>
      <w:r w:rsidR="00197C94">
        <w:rPr>
          <w:rFonts w:ascii="Arial" w:hAnsi="Arial" w:cs="Arial"/>
          <w:lang w:val="en-US"/>
        </w:rPr>
        <w:t>“</w:t>
      </w:r>
      <w:r>
        <w:rPr>
          <w:rFonts w:ascii="Arial" w:hAnsi="Arial" w:cs="Arial"/>
          <w:lang w:val="en-US"/>
        </w:rPr>
        <w:t xml:space="preserve">bidirectional </w:t>
      </w:r>
      <w:proofErr w:type="spellStart"/>
      <w:r>
        <w:rPr>
          <w:rFonts w:ascii="Arial" w:hAnsi="Arial" w:cs="Arial"/>
          <w:lang w:val="en-US"/>
        </w:rPr>
        <w:t>GaN</w:t>
      </w:r>
      <w:proofErr w:type="spellEnd"/>
      <w:r>
        <w:rPr>
          <w:rFonts w:ascii="Arial" w:hAnsi="Arial" w:cs="Arial"/>
          <w:lang w:val="en-US"/>
        </w:rPr>
        <w:t xml:space="preserve"> switches</w:t>
      </w:r>
      <w:r w:rsidR="00197C94">
        <w:rPr>
          <w:rFonts w:ascii="Arial" w:hAnsi="Arial" w:cs="Arial"/>
          <w:lang w:val="en-US"/>
        </w:rPr>
        <w:t>”</w:t>
      </w:r>
      <w:r>
        <w:rPr>
          <w:rFonts w:ascii="Arial" w:hAnsi="Arial" w:cs="Arial"/>
          <w:lang w:val="en-US"/>
        </w:rPr>
        <w:t xml:space="preserve"> and </w:t>
      </w:r>
      <w:r w:rsidR="00197C94">
        <w:rPr>
          <w:rFonts w:ascii="Arial" w:hAnsi="Arial" w:cs="Arial"/>
          <w:lang w:val="en-US"/>
        </w:rPr>
        <w:t>“</w:t>
      </w:r>
      <w:r>
        <w:rPr>
          <w:rFonts w:ascii="Arial" w:hAnsi="Arial" w:cs="Arial"/>
          <w:lang w:val="en-US"/>
        </w:rPr>
        <w:t xml:space="preserve">consolidation in </w:t>
      </w:r>
      <w:proofErr w:type="spellStart"/>
      <w:r>
        <w:rPr>
          <w:rFonts w:ascii="Arial" w:hAnsi="Arial" w:cs="Arial"/>
          <w:lang w:val="en-US"/>
        </w:rPr>
        <w:t>SiC</w:t>
      </w:r>
      <w:proofErr w:type="spellEnd"/>
      <w:r>
        <w:rPr>
          <w:rFonts w:ascii="Arial" w:hAnsi="Arial" w:cs="Arial"/>
          <w:lang w:val="en-US"/>
        </w:rPr>
        <w:t xml:space="preserve"> semiconductors</w:t>
      </w:r>
      <w:r w:rsidR="00197C94">
        <w:rPr>
          <w:rFonts w:ascii="Arial" w:hAnsi="Arial" w:cs="Arial"/>
          <w:lang w:val="en-US"/>
        </w:rPr>
        <w:t>”</w:t>
      </w:r>
      <w:r>
        <w:rPr>
          <w:rFonts w:ascii="Arial" w:hAnsi="Arial" w:cs="Arial"/>
          <w:lang w:val="en-US"/>
        </w:rPr>
        <w:t>, among other subjects.</w:t>
      </w:r>
    </w:p>
    <w:p w14:paraId="53E699DC" w14:textId="77777777" w:rsidR="00443F19" w:rsidRDefault="00443F19" w:rsidP="00443F19">
      <w:pPr>
        <w:rPr>
          <w:rFonts w:ascii="Arial" w:hAnsi="Arial" w:cs="Arial"/>
          <w:lang w:val="en-US"/>
        </w:rPr>
      </w:pPr>
      <w:r>
        <w:rPr>
          <w:rFonts w:ascii="Arial" w:hAnsi="Arial" w:cs="Arial"/>
          <w:lang w:val="en-US"/>
        </w:rPr>
        <w:t xml:space="preserve">The entire lecture program of the PCIM Conference 2026 is available at </w:t>
      </w:r>
      <w:hyperlink r:id="rId7" w:history="1">
        <w:r>
          <w:rPr>
            <w:rStyle w:val="Hyperlink"/>
            <w:rFonts w:ascii="Arial" w:hAnsi="Arial" w:cs="Arial"/>
            <w:lang w:val="en-US"/>
          </w:rPr>
          <w:t>https://pcim.mesago.com/nuernberg/en/conference/program-speakers/program.html</w:t>
        </w:r>
      </w:hyperlink>
      <w:r>
        <w:rPr>
          <w:rFonts w:ascii="Arial" w:hAnsi="Arial" w:cs="Arial"/>
          <w:lang w:val="en-US"/>
        </w:rPr>
        <w:t xml:space="preserve">. </w:t>
      </w:r>
    </w:p>
    <w:p w14:paraId="2839B5B8" w14:textId="77777777" w:rsidR="008D24C3" w:rsidRDefault="008D24C3" w:rsidP="00443F19">
      <w:pPr>
        <w:rPr>
          <w:rFonts w:ascii="Arial" w:hAnsi="Arial" w:cs="Arial"/>
          <w:lang w:val="en-US"/>
        </w:rPr>
      </w:pPr>
    </w:p>
    <w:p w14:paraId="53498615" w14:textId="2E12CA7C" w:rsidR="008D24C3" w:rsidRPr="008D24C3" w:rsidRDefault="008D24C3" w:rsidP="008D24C3">
      <w:pPr>
        <w:rPr>
          <w:rFonts w:ascii="Arial" w:hAnsi="Arial" w:cs="Arial"/>
          <w:lang w:val="en-US"/>
        </w:rPr>
      </w:pPr>
      <w:r w:rsidRPr="007B4DA5">
        <w:rPr>
          <w:rFonts w:ascii="Arial" w:hAnsi="Arial" w:cs="Arial"/>
          <w:lang w:val="en-US"/>
        </w:rPr>
        <w:t xml:space="preserve">To set a perfect stage for the 2026 event, 27 half-day seminars will offer practical insights and in-depth expertise on the two days prior to the conference. All the relevant information regarding this year’s PCIM seminars can be found at </w:t>
      </w:r>
      <w:hyperlink r:id="rId8" w:history="1">
        <w:r w:rsidRPr="00686B15">
          <w:rPr>
            <w:rStyle w:val="Hyperlink"/>
            <w:rFonts w:ascii="Arial" w:hAnsi="Arial" w:cs="Arial"/>
            <w:lang w:val="en-US"/>
          </w:rPr>
          <w:t>https://pcim.mesago.com/nuernberg/en/conference/seminars.html</w:t>
        </w:r>
      </w:hyperlink>
      <w:r w:rsidRPr="007B4DA5">
        <w:rPr>
          <w:rFonts w:ascii="Arial" w:hAnsi="Arial" w:cs="Arial"/>
          <w:lang w:val="en-US"/>
        </w:rPr>
        <w:t>.</w:t>
      </w:r>
    </w:p>
    <w:p w14:paraId="4C3DF310" w14:textId="78680ECD" w:rsidR="00443F19" w:rsidRPr="003C504C" w:rsidRDefault="003C504C" w:rsidP="00443F19">
      <w:pPr>
        <w:pStyle w:val="berschrift3"/>
      </w:pPr>
      <w:r>
        <w:rPr>
          <w:bCs/>
          <w:lang w:val="en-US"/>
        </w:rPr>
        <w:t xml:space="preserve">New at the PCIM Expo &amp; Conference: </w:t>
      </w:r>
      <w:r w:rsidR="006C0BAD">
        <w:rPr>
          <w:bCs/>
          <w:lang w:val="en-US"/>
        </w:rPr>
        <w:t>H</w:t>
      </w:r>
      <w:r>
        <w:rPr>
          <w:bCs/>
          <w:lang w:val="en-US"/>
        </w:rPr>
        <w:t xml:space="preserve">ost </w:t>
      </w:r>
      <w:r w:rsidR="006C0BAD">
        <w:rPr>
          <w:bCs/>
          <w:lang w:val="en-US"/>
        </w:rPr>
        <w:t>Y</w:t>
      </w:r>
      <w:r>
        <w:rPr>
          <w:bCs/>
          <w:lang w:val="en-US"/>
        </w:rPr>
        <w:t>our</w:t>
      </w:r>
      <w:r w:rsidR="006C0BAD">
        <w:rPr>
          <w:bCs/>
          <w:lang w:val="en-US"/>
        </w:rPr>
        <w:t xml:space="preserve"> S</w:t>
      </w:r>
      <w:r>
        <w:rPr>
          <w:bCs/>
          <w:lang w:val="en-US"/>
        </w:rPr>
        <w:t xml:space="preserve">ide </w:t>
      </w:r>
      <w:r w:rsidR="006C0BAD">
        <w:rPr>
          <w:bCs/>
          <w:lang w:val="en-US"/>
        </w:rPr>
        <w:t>E</w:t>
      </w:r>
      <w:r>
        <w:rPr>
          <w:bCs/>
          <w:lang w:val="en-US"/>
        </w:rPr>
        <w:t>vent!</w:t>
      </w:r>
    </w:p>
    <w:p w14:paraId="370F4FBD" w14:textId="77777777" w:rsidR="003C504C" w:rsidRPr="00563075" w:rsidRDefault="003C504C" w:rsidP="003C504C">
      <w:pPr>
        <w:pStyle w:val="Continuoustext"/>
        <w:rPr>
          <w:lang w:val="en-US"/>
        </w:rPr>
      </w:pPr>
      <w:r>
        <w:rPr>
          <w:lang w:val="en-US"/>
        </w:rPr>
        <w:t xml:space="preserve">At this year's PCIM Expo &amp; Conference, companies, speakers, advisory boards, and other participants will have the opportunity to organize an official side event for the first time. Whether it’s networking over drinks, engaging in a roundtable discussion, or going for a morning run: A side event directly connected to the leading trade fair for power electronics can be an exclusive space for exchange, inspiration, and making important new contacts. </w:t>
      </w:r>
    </w:p>
    <w:p w14:paraId="6172E33E" w14:textId="77777777" w:rsidR="003C504C" w:rsidRPr="00563075" w:rsidRDefault="003C504C" w:rsidP="003C504C">
      <w:pPr>
        <w:pStyle w:val="Continuoustext"/>
        <w:rPr>
          <w:lang w:val="en-US"/>
        </w:rPr>
      </w:pPr>
      <w:r>
        <w:rPr>
          <w:lang w:val="en-US"/>
        </w:rPr>
        <w:t xml:space="preserve">To learn more about applying to host a side event, please click </w:t>
      </w:r>
      <w:hyperlink r:id="rId9" w:history="1">
        <w:r>
          <w:rPr>
            <w:lang w:val="en-US"/>
          </w:rPr>
          <w:t>here</w:t>
        </w:r>
      </w:hyperlink>
      <w:r>
        <w:rPr>
          <w:lang w:val="en-US"/>
        </w:rPr>
        <w:t>.</w:t>
      </w:r>
    </w:p>
    <w:p w14:paraId="0F84BCB5" w14:textId="77777777" w:rsidR="003C504C" w:rsidRPr="00563075" w:rsidRDefault="003C504C" w:rsidP="003C504C">
      <w:pPr>
        <w:pStyle w:val="Continuoustext"/>
        <w:rPr>
          <w:lang w:val="en-US"/>
        </w:rPr>
      </w:pPr>
    </w:p>
    <w:p w14:paraId="724836E7" w14:textId="77777777" w:rsidR="003C504C" w:rsidRPr="00563075" w:rsidRDefault="003C504C" w:rsidP="003C504C">
      <w:pPr>
        <w:pStyle w:val="Continuoustext"/>
        <w:rPr>
          <w:lang w:val="en-US"/>
        </w:rPr>
      </w:pPr>
    </w:p>
    <w:p w14:paraId="576F433D" w14:textId="77777777" w:rsidR="003C504C" w:rsidRDefault="003C504C" w:rsidP="003C504C">
      <w:pPr>
        <w:pStyle w:val="Continuoustext"/>
        <w:rPr>
          <w:lang w:val="en-US"/>
        </w:rPr>
      </w:pPr>
      <w:r>
        <w:rPr>
          <w:lang w:val="en-US"/>
        </w:rPr>
        <w:lastRenderedPageBreak/>
        <w:t>The PCIM Expo &amp; Conference is the power electronics industry’s central platform for ground-breaking product premieres, innovations, and the latest research findings. With its unique combination of scientific convention and practically oriented trade fair, the event welcomed 685 exhibiting companies, 16,500 visitors, and more than 800 conference participants from the realms of science and industry in 2025. The PCIM Expo &amp; Conference also drew a record 62% of its attendees from outside Germany last year, underscoring the global relevance of power electronics and reaffirming the PCIM’s position as the leading international event for the power electronics community.</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C5711A" w:rsidRPr="005E3C63" w14:paraId="161CD491" w14:textId="77777777" w:rsidTr="00A73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D4EE10F" w14:textId="77777777" w:rsidR="00C5711A" w:rsidRPr="005E3C63" w:rsidRDefault="00C5711A" w:rsidP="00A7324C">
            <w:pPr>
              <w:ind w:left="0"/>
            </w:pPr>
            <w:r w:rsidRPr="005E3C63">
              <w:rPr>
                <w:noProof/>
              </w:rPr>
              <w:drawing>
                <wp:inline distT="0" distB="0" distL="0" distR="0" wp14:anchorId="174A0689" wp14:editId="337F5658">
                  <wp:extent cx="3777223"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a:extLst>
                              <a:ext uri="{28A0092B-C50C-407E-A947-70E740481C1C}">
                                <a14:useLocalDpi xmlns:a14="http://schemas.microsoft.com/office/drawing/2010/main" val="0"/>
                              </a:ext>
                            </a:extLst>
                          </a:blip>
                          <a:stretch>
                            <a:fillRect/>
                          </a:stretch>
                        </pic:blipFill>
                        <pic:spPr>
                          <a:xfrm>
                            <a:off x="0" y="0"/>
                            <a:ext cx="3777223"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C5711A" w:rsidRPr="00E66047" w14:paraId="678FEB7D" w14:textId="77777777" w:rsidTr="00A7324C">
        <w:tc>
          <w:tcPr>
            <w:tcW w:w="5953" w:type="dxa"/>
          </w:tcPr>
          <w:p w14:paraId="6B138987" w14:textId="77777777" w:rsidR="00C5711A" w:rsidRPr="003C504C" w:rsidRDefault="00C5711A" w:rsidP="00A7324C">
            <w:pPr>
              <w:pStyle w:val="Imagecaption"/>
              <w:rPr>
                <w:lang w:val="de-DE"/>
              </w:rPr>
            </w:pPr>
            <w:r w:rsidRPr="003C504C">
              <w:rPr>
                <w:lang w:val="de-DE"/>
              </w:rPr>
              <w:t>Copyright: Mesago Messe Frankfurt G</w:t>
            </w:r>
            <w:r>
              <w:rPr>
                <w:lang w:val="de-DE"/>
              </w:rPr>
              <w:t xml:space="preserve">mbH / </w:t>
            </w:r>
            <w:r w:rsidRPr="00BC16F1">
              <w:rPr>
                <w:lang w:val="de-DE"/>
              </w:rPr>
              <w:t>Arturo Rivas Gonzalez</w:t>
            </w:r>
            <w:r>
              <w:rPr>
                <w:lang w:val="de-DE"/>
              </w:rPr>
              <w:t xml:space="preserve"> </w:t>
            </w:r>
          </w:p>
        </w:tc>
      </w:tr>
    </w:tbl>
    <w:p w14:paraId="56AF8D4B" w14:textId="3C1B74CE" w:rsidR="008D24C3" w:rsidRDefault="008D24C3" w:rsidP="008D24C3">
      <w:pPr>
        <w:pStyle w:val="Continuoustext"/>
        <w:rPr>
          <w:lang w:val="en-GB"/>
        </w:rPr>
      </w:pPr>
      <w:r>
        <w:rPr>
          <w:lang w:val="en-GB"/>
        </w:rPr>
        <w:t xml:space="preserve">PCIM </w:t>
      </w:r>
    </w:p>
    <w:p w14:paraId="27CC49A5" w14:textId="77777777" w:rsidR="008D24C3" w:rsidRPr="003C504C" w:rsidRDefault="008D24C3" w:rsidP="008D24C3">
      <w:pPr>
        <w:pStyle w:val="Continuoustext"/>
        <w:rPr>
          <w:lang w:val="en-US"/>
        </w:rPr>
      </w:pPr>
      <w:r w:rsidRPr="003C504C">
        <w:rPr>
          <w:lang w:val="en-US"/>
        </w:rPr>
        <w:t>International exhibition and conference for Power Electronics, Intelligent Motion, Renewable Energy and Energy Management</w:t>
      </w:r>
    </w:p>
    <w:p w14:paraId="6331F8C9" w14:textId="399C6C37" w:rsidR="008D24C3" w:rsidRPr="005E3C63" w:rsidRDefault="008D24C3" w:rsidP="008D24C3">
      <w:pPr>
        <w:pStyle w:val="Continuoustext"/>
        <w:rPr>
          <w:lang w:val="en-GB"/>
        </w:rPr>
      </w:pPr>
      <w:r w:rsidRPr="007B2F67">
        <w:rPr>
          <w:lang w:val="en-GB"/>
        </w:rPr>
        <w:t xml:space="preserve">The </w:t>
      </w:r>
      <w:r>
        <w:rPr>
          <w:lang w:val="en-GB"/>
        </w:rPr>
        <w:t xml:space="preserve">PCIM </w:t>
      </w:r>
      <w:r w:rsidRPr="007B2F67">
        <w:rPr>
          <w:lang w:val="en-GB"/>
        </w:rPr>
        <w:t>will be held from</w:t>
      </w:r>
      <w:r>
        <w:rPr>
          <w:lang w:val="en-GB"/>
        </w:rPr>
        <w:t xml:space="preserve"> 09 - 11 June 2026</w:t>
      </w:r>
      <w:r w:rsidRPr="007B2F67">
        <w:rPr>
          <w:lang w:val="en-GB"/>
        </w:rPr>
        <w:t>.</w:t>
      </w:r>
    </w:p>
    <w:p w14:paraId="0F22198E" w14:textId="77777777" w:rsidR="008D24C3" w:rsidRPr="005E3C63" w:rsidRDefault="008D24C3" w:rsidP="008D24C3">
      <w:pPr>
        <w:pStyle w:val="berschrift4"/>
      </w:pPr>
      <w:bookmarkStart w:id="2" w:name="hinweisueberschrift"/>
      <w:bookmarkStart w:id="3" w:name="Presseueberschrift"/>
      <w:bookmarkEnd w:id="2"/>
      <w:bookmarkEnd w:id="3"/>
      <w:r w:rsidRPr="007B2F67">
        <w:t>Press information and photographic material:</w:t>
      </w:r>
    </w:p>
    <w:bookmarkStart w:id="4" w:name="Journalisten"/>
    <w:bookmarkEnd w:id="4"/>
    <w:p w14:paraId="2A3B0A98" w14:textId="62240230" w:rsidR="008D24C3" w:rsidRPr="005E3C63" w:rsidRDefault="008D24C3" w:rsidP="008D24C3">
      <w:pPr>
        <w:pStyle w:val="Continuoustext"/>
        <w:rPr>
          <w:lang w:val="en-GB"/>
        </w:rPr>
      </w:pPr>
      <w:r>
        <w:fldChar w:fldCharType="begin"/>
      </w:r>
      <w:r w:rsidRPr="00641AD8">
        <w:rPr>
          <w:lang w:val="en-US"/>
        </w:rPr>
        <w:instrText xml:space="preserve"> HYPERLINK "https://pcim.mesago.com/nuernberg/en/press.html" </w:instrText>
      </w:r>
      <w:r>
        <w:fldChar w:fldCharType="separate"/>
      </w:r>
      <w:r w:rsidRPr="00641AD8">
        <w:rPr>
          <w:rStyle w:val="Hyperlink"/>
          <w:lang w:val="en-US"/>
        </w:rPr>
        <w:t xml:space="preserve">Press - PCIM </w:t>
      </w:r>
      <w:r>
        <w:fldChar w:fldCharType="end"/>
      </w:r>
    </w:p>
    <w:p w14:paraId="361230ED" w14:textId="77777777" w:rsidR="008D24C3" w:rsidRPr="005E3C63" w:rsidRDefault="008D24C3" w:rsidP="008D24C3">
      <w:pPr>
        <w:pStyle w:val="berschrift4"/>
      </w:pPr>
      <w:bookmarkStart w:id="5" w:name="Netzueberschrift"/>
      <w:bookmarkEnd w:id="5"/>
      <w:r w:rsidRPr="00C06975">
        <w:t>Links to websites</w:t>
      </w:r>
      <w:r w:rsidRPr="005E3C63">
        <w:t>:</w:t>
      </w:r>
    </w:p>
    <w:bookmarkStart w:id="6" w:name="Netz"/>
    <w:bookmarkEnd w:id="6"/>
    <w:p w14:paraId="72EBC76A" w14:textId="6B158083" w:rsidR="008D24C3" w:rsidRPr="00CF5B16" w:rsidRDefault="008D24C3" w:rsidP="008D24C3">
      <w:pPr>
        <w:pStyle w:val="Continuoustext"/>
        <w:rPr>
          <w:lang w:val="en-US"/>
        </w:rPr>
      </w:pPr>
      <w:r>
        <w:fldChar w:fldCharType="begin"/>
      </w:r>
      <w:r w:rsidRPr="007C62B4">
        <w:rPr>
          <w:lang w:val="en-US"/>
        </w:rPr>
        <w:instrText xml:space="preserve"> HYPERLINK "https://pcim.mesago.com/events/en.html" </w:instrText>
      </w:r>
      <w:r>
        <w:fldChar w:fldCharType="separate"/>
      </w:r>
      <w:r w:rsidRPr="007C62B4">
        <w:rPr>
          <w:rStyle w:val="Hyperlink"/>
          <w:lang w:val="en-US"/>
        </w:rPr>
        <w:t>PCIM – the international event in power electronics</w:t>
      </w:r>
      <w:r>
        <w:fldChar w:fldCharType="end"/>
      </w:r>
      <w:r w:rsidRPr="0057094E">
        <w:rPr>
          <w:lang w:val="en-US"/>
        </w:rPr>
        <w:t xml:space="preserve"> </w:t>
      </w:r>
      <w:r>
        <w:rPr>
          <w:lang w:val="en-US"/>
        </w:rPr>
        <w:t xml:space="preserve">          </w:t>
      </w:r>
      <w:r w:rsidRPr="00CF5B16">
        <w:rPr>
          <w:color w:val="auto"/>
          <w:lang w:val="en-US"/>
        </w:rPr>
        <w:br/>
      </w:r>
      <w:hyperlink r:id="rId11" w:history="1">
        <w:r w:rsidRPr="00CF5B16">
          <w:rPr>
            <w:rStyle w:val="Hyperlink"/>
            <w:lang w:val="en-US"/>
          </w:rPr>
          <w:t>https://www.facebook.com/pcimeurope</w:t>
        </w:r>
      </w:hyperlink>
      <w:r w:rsidRPr="00CF5B16">
        <w:rPr>
          <w:color w:val="auto"/>
          <w:lang w:val="en-US"/>
        </w:rPr>
        <w:t>/</w:t>
      </w:r>
      <w:r w:rsidRPr="00CF5B16">
        <w:rPr>
          <w:color w:val="auto"/>
          <w:lang w:val="en-US"/>
        </w:rPr>
        <w:br/>
      </w:r>
      <w:hyperlink r:id="rId12" w:history="1">
        <w:r w:rsidRPr="00CF5B16">
          <w:rPr>
            <w:rStyle w:val="Hyperlink"/>
            <w:lang w:val="en-US"/>
          </w:rPr>
          <w:t>https://www.linkedin.com/showcase/pcim-europe/</w:t>
        </w:r>
      </w:hyperlink>
    </w:p>
    <w:p w14:paraId="5A4E2D1C" w14:textId="77777777" w:rsidR="008D24C3" w:rsidRPr="00CF5B16" w:rsidRDefault="008D24C3" w:rsidP="008D24C3">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D24C3" w:rsidRPr="00CF5B16" w14:paraId="2B8F5F85" w14:textId="77777777" w:rsidTr="00A977A3">
        <w:tc>
          <w:tcPr>
            <w:tcW w:w="5000" w:type="pct"/>
            <w:tcMar>
              <w:left w:w="142" w:type="dxa"/>
              <w:right w:w="0" w:type="dxa"/>
            </w:tcMar>
          </w:tcPr>
          <w:p w14:paraId="042571E7" w14:textId="77777777" w:rsidR="008D24C3" w:rsidRPr="00CF5B16" w:rsidRDefault="008D24C3" w:rsidP="00A977A3">
            <w:pPr>
              <w:pStyle w:val="Logogram"/>
              <w:rPr>
                <w:lang w:val="en-US"/>
              </w:rPr>
            </w:pPr>
            <w:r>
              <w:rPr>
                <w:noProof/>
              </w:rPr>
              <w:lastRenderedPageBreak/>
              <w:drawing>
                <wp:anchor distT="0" distB="0" distL="114300" distR="114300" simplePos="0" relativeHeight="251659264" behindDoc="0" locked="0" layoutInCell="1" allowOverlap="1" wp14:anchorId="039E4DCD" wp14:editId="6B1B5B5B">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8D24C3" w:rsidRPr="00C25190" w14:paraId="39E7A0B1" w14:textId="77777777" w:rsidTr="00A977A3">
        <w:tc>
          <w:tcPr>
            <w:tcW w:w="5000" w:type="pct"/>
          </w:tcPr>
          <w:p w14:paraId="3650386D" w14:textId="77777777" w:rsidR="008D24C3" w:rsidRPr="005E3C63" w:rsidRDefault="008D24C3" w:rsidP="00A977A3">
            <w:pPr>
              <w:pStyle w:val="Contact"/>
            </w:pPr>
            <w:r w:rsidRPr="005E3C63">
              <w:t>Your contact:</w:t>
            </w:r>
          </w:p>
          <w:p w14:paraId="3E916F89" w14:textId="77777777" w:rsidR="008D24C3" w:rsidRPr="003C504C" w:rsidRDefault="008D24C3" w:rsidP="00A977A3">
            <w:pPr>
              <w:pStyle w:val="Continuoustext"/>
              <w:rPr>
                <w:lang w:val="en-US"/>
              </w:rPr>
            </w:pPr>
            <w:r w:rsidRPr="003C504C">
              <w:rPr>
                <w:lang w:val="en-US"/>
              </w:rPr>
              <w:t>Lisette Hausser</w:t>
            </w:r>
            <w:r w:rsidRPr="003C504C">
              <w:rPr>
                <w:lang w:val="en-US"/>
              </w:rPr>
              <w:br/>
              <w:t>Phone: +49 711 61946-85</w:t>
            </w:r>
            <w:r w:rsidRPr="003C504C">
              <w:rPr>
                <w:lang w:val="en-US"/>
              </w:rPr>
              <w:br/>
              <w:t>Lisette.Hausser@mesago.com</w:t>
            </w:r>
          </w:p>
          <w:p w14:paraId="6C70AE9D" w14:textId="77777777" w:rsidR="008D24C3" w:rsidRPr="000A655B" w:rsidRDefault="008D24C3" w:rsidP="00A977A3">
            <w:pPr>
              <w:pStyle w:val="Continuoustext"/>
            </w:pPr>
            <w:r>
              <w:t>Mesago Messe Frankfurt GmbH</w:t>
            </w:r>
            <w:r w:rsidRPr="000A655B">
              <w:br/>
            </w:r>
            <w:proofErr w:type="spellStart"/>
            <w:r>
              <w:t>Rotebuehlstraße</w:t>
            </w:r>
            <w:proofErr w:type="spellEnd"/>
            <w:r>
              <w:t xml:space="preserve"> 83 -85</w:t>
            </w:r>
            <w:r w:rsidRPr="000A655B">
              <w:br/>
            </w:r>
            <w:r>
              <w:t>70178 Stuttgart</w:t>
            </w:r>
            <w:r>
              <w:br/>
              <w:t>Germany</w:t>
            </w:r>
            <w:r>
              <w:br/>
            </w:r>
            <w:hyperlink r:id="rId14" w:history="1">
              <w:r w:rsidRPr="005855F0">
                <w:rPr>
                  <w:rStyle w:val="Hyperlink"/>
                </w:rPr>
                <w:t>www.mesago.com</w:t>
              </w:r>
            </w:hyperlink>
          </w:p>
        </w:tc>
      </w:tr>
    </w:tbl>
    <w:p w14:paraId="060C7042" w14:textId="77777777" w:rsidR="008D24C3" w:rsidRDefault="008D24C3" w:rsidP="008D24C3">
      <w:pPr>
        <w:pStyle w:val="berschrift4"/>
        <w:rPr>
          <w:rFonts w:eastAsia="Times New Roman"/>
        </w:rPr>
      </w:pPr>
      <w:r>
        <w:rPr>
          <w:rFonts w:eastAsia="Times New Roman"/>
        </w:rPr>
        <w:t xml:space="preserve">Background information on </w:t>
      </w:r>
      <w:r w:rsidRPr="00C43C44">
        <w:rPr>
          <w:rFonts w:eastAsia="Times New Roman"/>
        </w:rPr>
        <w:t>Mesago Messe Frankfurt GmbH</w:t>
      </w:r>
    </w:p>
    <w:p w14:paraId="263B522B" w14:textId="77777777" w:rsidR="008D24C3" w:rsidRPr="00FD49F6" w:rsidRDefault="008D24C3" w:rsidP="008D24C3">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4CCC0C52" w14:textId="77777777" w:rsidR="008D24C3" w:rsidRPr="00FD49F6" w:rsidRDefault="008D24C3" w:rsidP="008D24C3">
      <w:pPr>
        <w:autoSpaceDE w:val="0"/>
        <w:autoSpaceDN w:val="0"/>
        <w:adjustRightInd w:val="0"/>
        <w:rPr>
          <w:rFonts w:cs="Arial"/>
          <w:lang w:val="en-US"/>
        </w:rPr>
      </w:pPr>
      <w:r w:rsidRPr="00FD49F6">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4B017151" w14:textId="77777777" w:rsidR="008D24C3" w:rsidRPr="00FD49F6" w:rsidRDefault="008D24C3" w:rsidP="008D24C3">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AC7878">
        <w:rPr>
          <w:rFonts w:cs="Arial"/>
          <w:lang w:val="en-US"/>
        </w:rPr>
        <w:t>(</w:t>
      </w:r>
      <w:hyperlink r:id="rId15" w:history="1">
        <w:r w:rsidRPr="00AC7878">
          <w:rPr>
            <w:rFonts w:cs="Arial"/>
          </w:rPr>
          <w:t>mesago.com</w:t>
        </w:r>
      </w:hyperlink>
      <w:r w:rsidRPr="00AC7878">
        <w:rPr>
          <w:rFonts w:cs="Arial"/>
          <w:lang w:val="en-US"/>
        </w:rPr>
        <w:t>)</w:t>
      </w:r>
    </w:p>
    <w:p w14:paraId="11650DDD" w14:textId="77777777" w:rsidR="008D24C3" w:rsidRPr="005E3C63" w:rsidRDefault="008D24C3" w:rsidP="008D24C3">
      <w:pPr>
        <w:pStyle w:val="berschrift4"/>
        <w:rPr>
          <w:rFonts w:eastAsia="Times New Roman"/>
        </w:rPr>
      </w:pPr>
      <w:r w:rsidRPr="005E3C63">
        <w:rPr>
          <w:rFonts w:eastAsia="Times New Roman"/>
        </w:rPr>
        <w:t>Background information on Messe Frankfurt</w:t>
      </w:r>
    </w:p>
    <w:p w14:paraId="6CD19E2A" w14:textId="77777777" w:rsidR="008D24C3" w:rsidRPr="00A6749A" w:rsidRDefault="008D24C3" w:rsidP="008D24C3">
      <w:pPr>
        <w:pStyle w:val="Continuoustext"/>
        <w:rPr>
          <w:lang w:val="en-US"/>
        </w:rPr>
      </w:pPr>
      <w:hyperlink r:id="rId16" w:history="1">
        <w:r w:rsidRPr="00A6749A">
          <w:rPr>
            <w:rStyle w:val="Hyperlink"/>
            <w:lang w:val="en-US"/>
          </w:rPr>
          <w:t>www.messefrankfurt.com/background-information</w:t>
        </w:r>
      </w:hyperlink>
    </w:p>
    <w:p w14:paraId="40ADAB04" w14:textId="77777777" w:rsidR="008D24C3" w:rsidRPr="00A6749A" w:rsidRDefault="008D24C3" w:rsidP="008D24C3">
      <w:pPr>
        <w:pStyle w:val="berschrift4"/>
        <w:rPr>
          <w:rFonts w:eastAsia="Times New Roman"/>
          <w:lang w:val="en-US"/>
        </w:rPr>
      </w:pPr>
      <w:r w:rsidRPr="00A6749A">
        <w:rPr>
          <w:rFonts w:eastAsia="Times New Roman"/>
          <w:lang w:val="en-US"/>
        </w:rPr>
        <w:t>Sustainability at Messe Frankfurt</w:t>
      </w:r>
    </w:p>
    <w:p w14:paraId="618698BC" w14:textId="77777777" w:rsidR="008D24C3" w:rsidRPr="00AF2C83" w:rsidRDefault="008D24C3" w:rsidP="008D24C3">
      <w:pPr>
        <w:pStyle w:val="Continuoustext"/>
        <w:rPr>
          <w:lang w:val="en-US"/>
        </w:rPr>
      </w:pPr>
      <w:hyperlink r:id="rId17" w:anchor="sustainability" w:history="1">
        <w:r w:rsidRPr="00AF2C83">
          <w:rPr>
            <w:rStyle w:val="Hyperlink"/>
            <w:lang w:val="en-US"/>
          </w:rPr>
          <w:t>www.messefrankfurt.com/sustainability-information</w:t>
        </w:r>
      </w:hyperlink>
    </w:p>
    <w:p w14:paraId="35B908F2" w14:textId="77777777" w:rsidR="008D24C3" w:rsidRPr="00563075" w:rsidRDefault="008D24C3" w:rsidP="00B36757">
      <w:pPr>
        <w:pStyle w:val="Continuoustext"/>
        <w:rPr>
          <w:lang w:val="en-US"/>
        </w:rPr>
      </w:pPr>
    </w:p>
    <w:sectPr w:rsidR="008D24C3" w:rsidRPr="005630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num w:numId="1" w16cid:durableId="777725392">
    <w:abstractNumId w:val="0"/>
  </w:num>
  <w:num w:numId="2" w16cid:durableId="193535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6FCE"/>
    <w:rsid w:val="000A0BA0"/>
    <w:rsid w:val="000A655B"/>
    <w:rsid w:val="000C6772"/>
    <w:rsid w:val="000D5BFC"/>
    <w:rsid w:val="000D7791"/>
    <w:rsid w:val="000E3AC7"/>
    <w:rsid w:val="00105788"/>
    <w:rsid w:val="00123F65"/>
    <w:rsid w:val="00131FFA"/>
    <w:rsid w:val="001432C2"/>
    <w:rsid w:val="00163B54"/>
    <w:rsid w:val="00166B37"/>
    <w:rsid w:val="001939ED"/>
    <w:rsid w:val="00197C94"/>
    <w:rsid w:val="001F14E5"/>
    <w:rsid w:val="00221135"/>
    <w:rsid w:val="00222267"/>
    <w:rsid w:val="00225F93"/>
    <w:rsid w:val="0023133C"/>
    <w:rsid w:val="00240018"/>
    <w:rsid w:val="00247B78"/>
    <w:rsid w:val="002757C9"/>
    <w:rsid w:val="00281D02"/>
    <w:rsid w:val="00282497"/>
    <w:rsid w:val="002A03C2"/>
    <w:rsid w:val="002C7048"/>
    <w:rsid w:val="002D23F5"/>
    <w:rsid w:val="002D4502"/>
    <w:rsid w:val="002F2645"/>
    <w:rsid w:val="003179CF"/>
    <w:rsid w:val="00350C00"/>
    <w:rsid w:val="00363F18"/>
    <w:rsid w:val="003902B2"/>
    <w:rsid w:val="003A2D40"/>
    <w:rsid w:val="003A4F8E"/>
    <w:rsid w:val="003C4BD0"/>
    <w:rsid w:val="003C504C"/>
    <w:rsid w:val="003D767A"/>
    <w:rsid w:val="003F716F"/>
    <w:rsid w:val="0042362C"/>
    <w:rsid w:val="00424857"/>
    <w:rsid w:val="00443F19"/>
    <w:rsid w:val="0045113D"/>
    <w:rsid w:val="00467388"/>
    <w:rsid w:val="00484385"/>
    <w:rsid w:val="0049137E"/>
    <w:rsid w:val="00493E4E"/>
    <w:rsid w:val="004A1916"/>
    <w:rsid w:val="004F1D64"/>
    <w:rsid w:val="00505759"/>
    <w:rsid w:val="00523505"/>
    <w:rsid w:val="00536FE2"/>
    <w:rsid w:val="00540045"/>
    <w:rsid w:val="00563075"/>
    <w:rsid w:val="00566B83"/>
    <w:rsid w:val="0057094E"/>
    <w:rsid w:val="0058253E"/>
    <w:rsid w:val="005855F0"/>
    <w:rsid w:val="00585A1E"/>
    <w:rsid w:val="005A13EF"/>
    <w:rsid w:val="005B2BAD"/>
    <w:rsid w:val="005B33FB"/>
    <w:rsid w:val="005B4384"/>
    <w:rsid w:val="005E3C63"/>
    <w:rsid w:val="006241DE"/>
    <w:rsid w:val="00633CAD"/>
    <w:rsid w:val="00641AD8"/>
    <w:rsid w:val="006504C7"/>
    <w:rsid w:val="00673621"/>
    <w:rsid w:val="006850F5"/>
    <w:rsid w:val="00686B15"/>
    <w:rsid w:val="00696BE5"/>
    <w:rsid w:val="006A1728"/>
    <w:rsid w:val="006A698F"/>
    <w:rsid w:val="006C0BAD"/>
    <w:rsid w:val="006C1E26"/>
    <w:rsid w:val="006C6DCE"/>
    <w:rsid w:val="00701D02"/>
    <w:rsid w:val="00710E0D"/>
    <w:rsid w:val="00714D37"/>
    <w:rsid w:val="00726822"/>
    <w:rsid w:val="00732920"/>
    <w:rsid w:val="0076139D"/>
    <w:rsid w:val="00765A75"/>
    <w:rsid w:val="00765F4E"/>
    <w:rsid w:val="0078718F"/>
    <w:rsid w:val="00793455"/>
    <w:rsid w:val="007B2F67"/>
    <w:rsid w:val="007B3A1C"/>
    <w:rsid w:val="007B4DA5"/>
    <w:rsid w:val="007C23F6"/>
    <w:rsid w:val="007C41C1"/>
    <w:rsid w:val="007C62B4"/>
    <w:rsid w:val="007D6943"/>
    <w:rsid w:val="007F69A9"/>
    <w:rsid w:val="00804671"/>
    <w:rsid w:val="00807121"/>
    <w:rsid w:val="00807C5C"/>
    <w:rsid w:val="008149FE"/>
    <w:rsid w:val="0084260E"/>
    <w:rsid w:val="008453BA"/>
    <w:rsid w:val="00854A27"/>
    <w:rsid w:val="00867A39"/>
    <w:rsid w:val="0088042D"/>
    <w:rsid w:val="0088255F"/>
    <w:rsid w:val="008A5874"/>
    <w:rsid w:val="008C479B"/>
    <w:rsid w:val="008D24C3"/>
    <w:rsid w:val="008D5680"/>
    <w:rsid w:val="008E4E88"/>
    <w:rsid w:val="008F02ED"/>
    <w:rsid w:val="009045C6"/>
    <w:rsid w:val="00905800"/>
    <w:rsid w:val="0091195F"/>
    <w:rsid w:val="009344A7"/>
    <w:rsid w:val="009349EF"/>
    <w:rsid w:val="00936976"/>
    <w:rsid w:val="009373ED"/>
    <w:rsid w:val="00937762"/>
    <w:rsid w:val="00950F1B"/>
    <w:rsid w:val="009A6630"/>
    <w:rsid w:val="009B3394"/>
    <w:rsid w:val="009C0038"/>
    <w:rsid w:val="009F0D32"/>
    <w:rsid w:val="00A15BC8"/>
    <w:rsid w:val="00A27C32"/>
    <w:rsid w:val="00A3041E"/>
    <w:rsid w:val="00A317BD"/>
    <w:rsid w:val="00A331E4"/>
    <w:rsid w:val="00A53CAF"/>
    <w:rsid w:val="00A6749A"/>
    <w:rsid w:val="00A825A4"/>
    <w:rsid w:val="00A925F0"/>
    <w:rsid w:val="00AA4F51"/>
    <w:rsid w:val="00AC7878"/>
    <w:rsid w:val="00AE7164"/>
    <w:rsid w:val="00AF2C83"/>
    <w:rsid w:val="00B02CED"/>
    <w:rsid w:val="00B0538E"/>
    <w:rsid w:val="00B07DB8"/>
    <w:rsid w:val="00B159EC"/>
    <w:rsid w:val="00B23D7D"/>
    <w:rsid w:val="00B36757"/>
    <w:rsid w:val="00B47C6A"/>
    <w:rsid w:val="00BA0462"/>
    <w:rsid w:val="00BA056D"/>
    <w:rsid w:val="00BE20F1"/>
    <w:rsid w:val="00BE3A4E"/>
    <w:rsid w:val="00C06975"/>
    <w:rsid w:val="00C12A06"/>
    <w:rsid w:val="00C17FAD"/>
    <w:rsid w:val="00C25190"/>
    <w:rsid w:val="00C25464"/>
    <w:rsid w:val="00C25FCC"/>
    <w:rsid w:val="00C2765B"/>
    <w:rsid w:val="00C35A1E"/>
    <w:rsid w:val="00C43C44"/>
    <w:rsid w:val="00C45A4E"/>
    <w:rsid w:val="00C4715F"/>
    <w:rsid w:val="00C5287E"/>
    <w:rsid w:val="00C55078"/>
    <w:rsid w:val="00C5606D"/>
    <w:rsid w:val="00C56C0A"/>
    <w:rsid w:val="00C5711A"/>
    <w:rsid w:val="00C63ACF"/>
    <w:rsid w:val="00C70D7B"/>
    <w:rsid w:val="00C80702"/>
    <w:rsid w:val="00C81BE2"/>
    <w:rsid w:val="00C85550"/>
    <w:rsid w:val="00CE3DF1"/>
    <w:rsid w:val="00CF138C"/>
    <w:rsid w:val="00CF5B16"/>
    <w:rsid w:val="00D00796"/>
    <w:rsid w:val="00D0411E"/>
    <w:rsid w:val="00D22FE1"/>
    <w:rsid w:val="00D27EB6"/>
    <w:rsid w:val="00D425CB"/>
    <w:rsid w:val="00D51603"/>
    <w:rsid w:val="00D536AD"/>
    <w:rsid w:val="00D54056"/>
    <w:rsid w:val="00D632BE"/>
    <w:rsid w:val="00D67944"/>
    <w:rsid w:val="00D708BD"/>
    <w:rsid w:val="00D83AE9"/>
    <w:rsid w:val="00D8467C"/>
    <w:rsid w:val="00DA7114"/>
    <w:rsid w:val="00DB728F"/>
    <w:rsid w:val="00E04E00"/>
    <w:rsid w:val="00E31507"/>
    <w:rsid w:val="00E32257"/>
    <w:rsid w:val="00E323AF"/>
    <w:rsid w:val="00E35847"/>
    <w:rsid w:val="00E36F51"/>
    <w:rsid w:val="00E436CB"/>
    <w:rsid w:val="00E454F8"/>
    <w:rsid w:val="00E66047"/>
    <w:rsid w:val="00E73A7C"/>
    <w:rsid w:val="00E82225"/>
    <w:rsid w:val="00E8301E"/>
    <w:rsid w:val="00EC05B5"/>
    <w:rsid w:val="00EC4C24"/>
    <w:rsid w:val="00F11B29"/>
    <w:rsid w:val="00F164D8"/>
    <w:rsid w:val="00F237B4"/>
    <w:rsid w:val="00F501FE"/>
    <w:rsid w:val="00F51D33"/>
    <w:rsid w:val="00F6297C"/>
    <w:rsid w:val="00F75403"/>
    <w:rsid w:val="00F813C7"/>
    <w:rsid w:val="00F91F11"/>
    <w:rsid w:val="00F944A0"/>
    <w:rsid w:val="00FB0FB9"/>
    <w:rsid w:val="00FC70AD"/>
    <w:rsid w:val="00FD49F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45455165">
      <w:bodyDiv w:val="1"/>
      <w:marLeft w:val="0"/>
      <w:marRight w:val="0"/>
      <w:marTop w:val="0"/>
      <w:marBottom w:val="0"/>
      <w:divBdr>
        <w:top w:val="none" w:sz="0" w:space="0" w:color="auto"/>
        <w:left w:val="none" w:sz="0" w:space="0" w:color="auto"/>
        <w:bottom w:val="none" w:sz="0" w:space="0" w:color="auto"/>
        <w:right w:val="none" w:sz="0" w:space="0" w:color="auto"/>
      </w:divBdr>
    </w:div>
    <w:div w:id="323123375">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en/conference/seminars.htm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im.mesago.com/nuernberg/en/conference/program-speakers/program.html"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im.mesago.com/nuernberg/en/expo/exhibitor-information/host-your-side-event.html" TargetMode="External"/><Relationship Id="rId14" Type="http://schemas.openxmlformats.org/officeDocument/2006/relationships/hyperlink" Target="https://corporate.mesago.com/event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12</cp:revision>
  <cp:lastPrinted>2026-02-19T08:01:00Z</cp:lastPrinted>
  <dcterms:created xsi:type="dcterms:W3CDTF">2026-02-17T13:42:00Z</dcterms:created>
  <dcterms:modified xsi:type="dcterms:W3CDTF">2026-02-19T09:23:00Z</dcterms:modified>
</cp:coreProperties>
</file>