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FE6755" w14:paraId="3FCA4723" w14:textId="77777777" w:rsidTr="009A6630">
        <w:trPr>
          <w:trHeight w:val="425"/>
        </w:trPr>
        <w:tc>
          <w:tcPr>
            <w:tcW w:w="5000" w:type="pct"/>
          </w:tcPr>
          <w:p w14:paraId="73B69DA2" w14:textId="5DE3FCDD" w:rsidR="003902B2" w:rsidRPr="00EE2A5A" w:rsidRDefault="00D0475A" w:rsidP="003902B2">
            <w:pPr>
              <w:pStyle w:val="Continuoustext"/>
              <w:rPr>
                <w:lang w:val="fr-FR"/>
              </w:rPr>
            </w:pPr>
            <w:r w:rsidRPr="00EE2A5A">
              <w:rPr>
                <w:lang w:val="fr-FR"/>
              </w:rPr>
              <w:t>News +++ PCIM Europe</w:t>
            </w:r>
            <w:r w:rsidRPr="00EE2A5A">
              <w:rPr>
                <w:lang w:val="fr-FR"/>
              </w:rPr>
              <w:br/>
              <w:t>Nuremberg, du 11 au 13 juin 2024</w:t>
            </w:r>
            <w:r w:rsidRPr="00EE2A5A">
              <w:rPr>
                <w:lang w:val="fr-FR"/>
              </w:rPr>
              <w:br/>
            </w:r>
          </w:p>
        </w:tc>
      </w:tr>
      <w:tr w:rsidR="00D51603" w:rsidRPr="00EE2A5A" w14:paraId="067E84E2" w14:textId="77777777" w:rsidTr="009A6630">
        <w:trPr>
          <w:trHeight w:val="425"/>
        </w:trPr>
        <w:tc>
          <w:tcPr>
            <w:tcW w:w="5000" w:type="pct"/>
          </w:tcPr>
          <w:p w14:paraId="4E17EA26" w14:textId="1D174EA7" w:rsidR="00D51603" w:rsidRPr="00EE2A5A" w:rsidRDefault="007C62B4" w:rsidP="000A655B">
            <w:pPr>
              <w:pStyle w:val="Productbrand"/>
              <w:rPr>
                <w:lang w:val="fr-FR"/>
              </w:rPr>
            </w:pPr>
            <w:bookmarkStart w:id="0" w:name="_Hlk43896002"/>
            <w:r w:rsidRPr="00EE2A5A">
              <w:rPr>
                <w:noProof/>
                <w:lang w:val="fr-FR"/>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5E53BC7B" w:rsidR="00012BD5" w:rsidRPr="00EE2A5A" w:rsidRDefault="00394CD0" w:rsidP="00012BD5">
      <w:pPr>
        <w:pStyle w:val="berschrift2"/>
        <w:rPr>
          <w:lang w:val="fr-FR"/>
        </w:rPr>
      </w:pPr>
      <w:bookmarkStart w:id="1" w:name="kthema4"/>
      <w:bookmarkEnd w:id="1"/>
      <w:bookmarkEnd w:id="0"/>
      <w:r w:rsidRPr="00EE2A5A">
        <w:rPr>
          <w:lang w:val="fr-FR"/>
        </w:rPr>
        <w:t>PCIM Europe 2024 : salon professionnel et conférence, une plateforme de connaissances à l’écho impressionnant</w:t>
      </w:r>
    </w:p>
    <w:p w14:paraId="27D53321" w14:textId="658A3339" w:rsidR="00F93604" w:rsidRPr="00EE2A5A" w:rsidRDefault="00394CD0" w:rsidP="00F93604">
      <w:pPr>
        <w:rPr>
          <w:rStyle w:val="ui-provider"/>
          <w:b/>
          <w:bCs/>
          <w:lang w:val="fr-FR"/>
        </w:rPr>
      </w:pPr>
      <w:r w:rsidRPr="00EE2A5A">
        <w:rPr>
          <w:rStyle w:val="ui-provider"/>
          <w:b/>
          <w:bCs/>
          <w:lang w:val="fr-FR"/>
        </w:rPr>
        <w:t>Stuttgart, le 13 juin 2024.</w:t>
      </w:r>
      <w:r w:rsidRPr="00EE2A5A">
        <w:rPr>
          <w:lang w:val="fr-FR"/>
        </w:rPr>
        <w:t xml:space="preserve"> </w:t>
      </w:r>
      <w:bookmarkStart w:id="2" w:name="_Hlk168555169"/>
      <w:r w:rsidRPr="00EE2A5A">
        <w:rPr>
          <w:rStyle w:val="ui-provider"/>
          <w:b/>
          <w:bCs/>
          <w:lang w:val="fr-FR"/>
        </w:rPr>
        <w:t>Le salon PCIM Europe, qui s'est tenu du 11 au 13 juin 2024, a confirmé son importance en tant que pôle de présentation des derniers produits, tendances et évolutions dans le domaine de l'électronique de puissance.</w:t>
      </w:r>
      <w:r w:rsidRPr="00EE2A5A">
        <w:rPr>
          <w:rStyle w:val="cf01"/>
          <w:lang w:val="fr-FR"/>
        </w:rPr>
        <w:t xml:space="preserve"> </w:t>
      </w:r>
      <w:r w:rsidRPr="00EE2A5A">
        <w:rPr>
          <w:rStyle w:val="ui-provider"/>
          <w:b/>
          <w:bCs/>
          <w:lang w:val="fr-FR"/>
        </w:rPr>
        <w:t>Des experts internationaux ont profité de ce salon professionnel et de cette conférence de premier plan comme d’une plateforme de savoir et d’échange pour faire avancer ensemble l'électronique de puissance.</w:t>
      </w:r>
    </w:p>
    <w:bookmarkEnd w:id="2"/>
    <w:p w14:paraId="24F5AF71" w14:textId="77777777" w:rsidR="00C161F0" w:rsidRPr="00EE2A5A" w:rsidRDefault="00C161F0" w:rsidP="0077732D">
      <w:pPr>
        <w:ind w:left="0"/>
        <w:rPr>
          <w:lang w:val="fr-FR"/>
        </w:rPr>
      </w:pPr>
    </w:p>
    <w:p w14:paraId="0BE1F5BD" w14:textId="7A88D381" w:rsidR="00C161F0" w:rsidRPr="00EE2A5A" w:rsidRDefault="00C161F0" w:rsidP="0077732D">
      <w:pPr>
        <w:rPr>
          <w:rFonts w:cs="Arial"/>
          <w:bCs/>
          <w:color w:val="auto"/>
          <w:lang w:val="fr-FR"/>
        </w:rPr>
      </w:pPr>
      <w:r w:rsidRPr="00EE2A5A">
        <w:rPr>
          <w:rFonts w:cs="Arial"/>
          <w:lang w:val="fr-FR"/>
        </w:rPr>
        <w:t xml:space="preserve">Le bilan confirme de nouveaux records : </w:t>
      </w:r>
      <w:r w:rsidRPr="00EE2A5A">
        <w:rPr>
          <w:rFonts w:cs="Arial"/>
          <w:color w:val="auto"/>
          <w:lang w:val="fr-FR"/>
        </w:rPr>
        <w:t xml:space="preserve">le PCIM Europe 2024 a été un succès sur toute la ligne. Sur une surface d'exposition totale de 38 000 m², répartie dans quatre halls </w:t>
      </w:r>
      <w:r w:rsidRPr="001F56BF">
        <w:rPr>
          <w:rFonts w:cs="Arial"/>
          <w:color w:val="auto"/>
          <w:lang w:val="fr-FR"/>
        </w:rPr>
        <w:t xml:space="preserve">d'exposition, </w:t>
      </w:r>
      <w:r w:rsidR="00F2433A" w:rsidRPr="001F56BF">
        <w:rPr>
          <w:rFonts w:cs="Arial"/>
          <w:color w:val="auto"/>
          <w:lang w:val="fr-FR"/>
        </w:rPr>
        <w:t>637</w:t>
      </w:r>
      <w:r w:rsidRPr="001F56BF">
        <w:rPr>
          <w:rFonts w:cs="Arial"/>
          <w:color w:val="auto"/>
          <w:lang w:val="fr-FR"/>
        </w:rPr>
        <w:t xml:space="preserve"> exposants (</w:t>
      </w:r>
      <w:r w:rsidR="00F2433A" w:rsidRPr="001F56BF">
        <w:rPr>
          <w:rFonts w:cs="Arial"/>
          <w:color w:val="auto"/>
          <w:lang w:val="fr-FR"/>
        </w:rPr>
        <w:t>60</w:t>
      </w:r>
      <w:r w:rsidRPr="001F56BF">
        <w:rPr>
          <w:rFonts w:cs="Arial"/>
          <w:color w:val="auto"/>
          <w:lang w:val="fr-FR"/>
        </w:rPr>
        <w:t xml:space="preserve"> % venant de l’étranger) ont présenté leurs produits, solutions et innovations les plus récents dans le domaine de l’électronique de puissance. Au total, plus de </w:t>
      </w:r>
      <w:r w:rsidR="001F56BF" w:rsidRPr="001F56BF">
        <w:rPr>
          <w:rFonts w:cs="Arial"/>
          <w:color w:val="auto"/>
          <w:lang w:val="fr-FR"/>
        </w:rPr>
        <w:t>18.000</w:t>
      </w:r>
      <w:r w:rsidRPr="001F56BF">
        <w:rPr>
          <w:rFonts w:cs="Arial"/>
          <w:color w:val="auto"/>
          <w:lang w:val="fr-FR"/>
        </w:rPr>
        <w:t xml:space="preserve"> personnes intéressées ont visité le salon professionnel PCIM Europe et y ont découvert une</w:t>
      </w:r>
      <w:r w:rsidRPr="00EE2A5A">
        <w:rPr>
          <w:rFonts w:cs="Arial"/>
          <w:color w:val="auto"/>
          <w:lang w:val="fr-FR"/>
        </w:rPr>
        <w:t xml:space="preserve"> offre plus diversifiée que jamais.</w:t>
      </w:r>
    </w:p>
    <w:p w14:paraId="5F015692" w14:textId="77777777" w:rsidR="0077732D" w:rsidRPr="00EE2A5A" w:rsidRDefault="0077732D" w:rsidP="0077732D">
      <w:pPr>
        <w:rPr>
          <w:rFonts w:cs="Arial"/>
          <w:bCs/>
          <w:color w:val="auto"/>
          <w:lang w:val="fr-FR"/>
        </w:rPr>
      </w:pPr>
    </w:p>
    <w:p w14:paraId="1C46B75F" w14:textId="06EF219E" w:rsidR="0077732D" w:rsidRPr="00EE2A5A" w:rsidRDefault="0077732D" w:rsidP="0077732D">
      <w:pPr>
        <w:pStyle w:val="Continuoustext"/>
        <w:rPr>
          <w:color w:val="auto"/>
          <w:lang w:val="fr-FR"/>
        </w:rPr>
      </w:pPr>
      <w:r w:rsidRPr="00EE2A5A">
        <w:rPr>
          <w:color w:val="auto"/>
          <w:lang w:val="fr-FR"/>
        </w:rPr>
        <w:t xml:space="preserve">Lors de </w:t>
      </w:r>
      <w:r w:rsidR="00F2433A">
        <w:rPr>
          <w:color w:val="auto"/>
          <w:lang w:val="fr-FR"/>
        </w:rPr>
        <w:t>472</w:t>
      </w:r>
      <w:r w:rsidRPr="00EE2A5A">
        <w:rPr>
          <w:color w:val="auto"/>
          <w:lang w:val="fr-FR"/>
        </w:rPr>
        <w:t xml:space="preserve"> exposés de haut niveau sur des thèmes de recherche actuels, </w:t>
      </w:r>
      <w:r w:rsidR="00F2433A">
        <w:rPr>
          <w:rFonts w:asciiTheme="minorHAnsi" w:hAnsiTheme="minorHAnsi"/>
          <w:color w:val="auto"/>
          <w:szCs w:val="22"/>
          <w:lang w:val="fr-FR"/>
        </w:rPr>
        <w:t>952</w:t>
      </w:r>
      <w:r w:rsidRPr="00EE2A5A">
        <w:rPr>
          <w:color w:val="auto"/>
          <w:lang w:val="fr-FR"/>
        </w:rPr>
        <w:t xml:space="preserve"> participants à la conférence venus de </w:t>
      </w:r>
      <w:r w:rsidR="00F2433A">
        <w:rPr>
          <w:color w:val="auto"/>
          <w:lang w:val="fr-FR"/>
        </w:rPr>
        <w:t>38</w:t>
      </w:r>
      <w:r w:rsidRPr="00EE2A5A">
        <w:rPr>
          <w:color w:val="auto"/>
          <w:lang w:val="fr-FR"/>
        </w:rPr>
        <w:t xml:space="preserve"> pays ont pu s’immerger encore plus profondément dans l’univers de l’électronique de puissance et s’informer à la source sur les derniers résultats et évolutions de la recherche. </w:t>
      </w:r>
    </w:p>
    <w:p w14:paraId="3168C5E7" w14:textId="0AACFD52" w:rsidR="0077732D" w:rsidRPr="00EE2A5A" w:rsidRDefault="0077732D" w:rsidP="0077732D">
      <w:pPr>
        <w:pStyle w:val="Continuoustext"/>
        <w:rPr>
          <w:color w:val="auto"/>
          <w:lang w:val="fr-FR"/>
        </w:rPr>
      </w:pPr>
      <w:r w:rsidRPr="00EE2A5A">
        <w:rPr>
          <w:color w:val="auto"/>
          <w:lang w:val="fr-FR"/>
        </w:rPr>
        <w:t xml:space="preserve">Outre les excellents résultats obtenus, le </w:t>
      </w:r>
      <w:r w:rsidRPr="00F2433A">
        <w:rPr>
          <w:color w:val="auto"/>
          <w:lang w:val="fr-FR"/>
        </w:rPr>
        <w:t>succès</w:t>
      </w:r>
      <w:r w:rsidRPr="00EE2A5A">
        <w:rPr>
          <w:color w:val="auto"/>
          <w:lang w:val="fr-FR"/>
        </w:rPr>
        <w:t xml:space="preserve"> de l’événement se reflète également dans l’ambiance positive qui y règne :</w:t>
      </w:r>
    </w:p>
    <w:p w14:paraId="03E36B9A" w14:textId="77777777" w:rsidR="00FE6755" w:rsidRDefault="00FE6755" w:rsidP="00FE6755">
      <w:pPr>
        <w:rPr>
          <w:color w:val="auto"/>
          <w:lang w:val="fr-FR"/>
        </w:rPr>
      </w:pPr>
      <w:r w:rsidRPr="00FE6755">
        <w:rPr>
          <w:rFonts w:ascii="Arial" w:hAnsi="Arial" w:cs="Arial"/>
          <w:color w:val="auto"/>
          <w:szCs w:val="36"/>
          <w:lang w:val="fr-FR"/>
        </w:rPr>
        <w:t xml:space="preserve">« Pour nous, chez </w:t>
      </w:r>
      <w:proofErr w:type="spellStart"/>
      <w:r w:rsidRPr="00FE6755">
        <w:rPr>
          <w:rFonts w:ascii="Arial" w:hAnsi="Arial" w:cs="Arial"/>
          <w:color w:val="auto"/>
          <w:szCs w:val="36"/>
          <w:lang w:val="fr-FR"/>
        </w:rPr>
        <w:t>Heraeus</w:t>
      </w:r>
      <w:proofErr w:type="spellEnd"/>
      <w:r w:rsidRPr="00FE6755">
        <w:rPr>
          <w:rFonts w:ascii="Arial" w:hAnsi="Arial" w:cs="Arial"/>
          <w:color w:val="auto"/>
          <w:szCs w:val="36"/>
          <w:lang w:val="fr-FR"/>
        </w:rPr>
        <w:t xml:space="preserve"> Electronics, le PCIM Europe est le plus grand salon mondial dédié à l’électronique de puissance. L’événement est international, interactif et inspirant. Nous pouvons y rencontrer tous les partenaires commerciaux internationaux du marché de l’électronique de puissance et débattre des technologies et évolutions les plus récentes. Nous ne nous inspirons pas seulement des nouvelles technologies et évolutions, mais aussi d’autres partenaires commerciaux. Sur le PICIM, nous avons l’occasion d’en discuter personnellement. »</w:t>
      </w:r>
      <w:r w:rsidR="00C85815" w:rsidRPr="00EE2A5A">
        <w:rPr>
          <w:color w:val="auto"/>
          <w:lang w:val="fr-FR"/>
        </w:rPr>
        <w:t xml:space="preserve"> </w:t>
      </w:r>
    </w:p>
    <w:p w14:paraId="65A5CE2B" w14:textId="316B7E92" w:rsidR="0077732D" w:rsidRDefault="00F2433A" w:rsidP="00FE6755">
      <w:pPr>
        <w:rPr>
          <w:color w:val="auto"/>
          <w:lang w:val="fr-FR"/>
        </w:rPr>
      </w:pPr>
      <w:r w:rsidRPr="00A31A96">
        <w:t>Manuel Fischer, EVP, Global Head of HR, Marketing Communication &amp; Sustainability</w:t>
      </w:r>
      <w:r w:rsidRPr="00EE2A5A">
        <w:rPr>
          <w:color w:val="auto"/>
          <w:lang w:val="fr-FR"/>
        </w:rPr>
        <w:t xml:space="preserve"> </w:t>
      </w:r>
      <w:r w:rsidR="00C85815" w:rsidRPr="00EE2A5A">
        <w:rPr>
          <w:color w:val="auto"/>
          <w:lang w:val="fr-FR"/>
        </w:rPr>
        <w:t xml:space="preserve">chez </w:t>
      </w:r>
      <w:r w:rsidRPr="00A31A96">
        <w:t>Heraeus Electronics</w:t>
      </w:r>
      <w:r w:rsidR="00C85815" w:rsidRPr="00EE2A5A">
        <w:rPr>
          <w:color w:val="auto"/>
          <w:lang w:val="fr-FR"/>
        </w:rPr>
        <w:t>.</w:t>
      </w:r>
    </w:p>
    <w:p w14:paraId="0C245D30" w14:textId="77777777" w:rsidR="00FE6755" w:rsidRDefault="00FE6755" w:rsidP="00FE6755">
      <w:pPr>
        <w:rPr>
          <w:i/>
          <w:iCs/>
          <w:color w:val="auto"/>
          <w:highlight w:val="yellow"/>
          <w:lang w:val="en-US"/>
        </w:rPr>
      </w:pPr>
    </w:p>
    <w:p w14:paraId="2C3ADBDE" w14:textId="77777777" w:rsidR="00FE6755" w:rsidRDefault="00FE6755" w:rsidP="00FE6755">
      <w:pPr>
        <w:rPr>
          <w:i/>
          <w:iCs/>
          <w:color w:val="auto"/>
          <w:highlight w:val="yellow"/>
          <w:lang w:val="en-US"/>
        </w:rPr>
      </w:pPr>
    </w:p>
    <w:p w14:paraId="63B5830D" w14:textId="77777777" w:rsidR="00FE6755" w:rsidRDefault="00FE6755" w:rsidP="00FE6755">
      <w:pPr>
        <w:rPr>
          <w:i/>
          <w:iCs/>
          <w:color w:val="auto"/>
          <w:highlight w:val="yellow"/>
          <w:lang w:val="en-US"/>
        </w:rPr>
      </w:pPr>
    </w:p>
    <w:p w14:paraId="2A5019A0" w14:textId="77777777" w:rsidR="00FE6755" w:rsidRPr="00FE6755" w:rsidRDefault="00FE6755" w:rsidP="00FE6755">
      <w:pPr>
        <w:rPr>
          <w:i/>
          <w:iCs/>
          <w:color w:val="auto"/>
          <w:highlight w:val="yellow"/>
          <w:lang w:val="en-US"/>
        </w:rPr>
      </w:pPr>
    </w:p>
    <w:p w14:paraId="24E33671" w14:textId="77777777" w:rsidR="0077732D" w:rsidRPr="00EE2A5A" w:rsidRDefault="0077732D" w:rsidP="0077732D">
      <w:pPr>
        <w:rPr>
          <w:color w:val="auto"/>
          <w:highlight w:val="green"/>
          <w:lang w:val="fr-FR"/>
        </w:rPr>
      </w:pPr>
    </w:p>
    <w:p w14:paraId="62BDD3E1" w14:textId="77777777" w:rsidR="00C9306D" w:rsidRPr="00C9306D" w:rsidRDefault="00C9306D" w:rsidP="00C9306D">
      <w:pPr>
        <w:pStyle w:val="Continuoustext"/>
        <w:rPr>
          <w:rStyle w:val="ui-provider"/>
          <w:color w:val="auto"/>
          <w:lang w:val="fr-FR"/>
        </w:rPr>
      </w:pPr>
      <w:r w:rsidRPr="00C9306D">
        <w:rPr>
          <w:rStyle w:val="ui-provider"/>
          <w:color w:val="auto"/>
          <w:lang w:val="fr-FR"/>
        </w:rPr>
        <w:lastRenderedPageBreak/>
        <w:t>« Je ressens chaque année la passion pour l’électronique de puissance au PCIM Europe ! J’apprécie cette passion combinée à l’interaction entre toutes les nationalités. Ensemble, nous poursuivons notre objectif commun qui est de faire évoluer globalement notre société vers la décarbonisation et la durabilité. »</w:t>
      </w:r>
    </w:p>
    <w:p w14:paraId="23407B1F" w14:textId="27763A14" w:rsidR="0077732D" w:rsidRPr="00F2433A" w:rsidRDefault="00C9306D" w:rsidP="00C9306D">
      <w:pPr>
        <w:pStyle w:val="Continuoustext"/>
        <w:rPr>
          <w:lang w:val="en-GB"/>
        </w:rPr>
      </w:pPr>
      <w:proofErr w:type="spellStart"/>
      <w:r w:rsidRPr="00C9306D">
        <w:rPr>
          <w:rStyle w:val="ui-provider"/>
          <w:color w:val="auto"/>
          <w:lang w:val="fr-FR"/>
        </w:rPr>
        <w:t>Toshiro</w:t>
      </w:r>
      <w:proofErr w:type="spellEnd"/>
      <w:r w:rsidRPr="00C9306D">
        <w:rPr>
          <w:rStyle w:val="ui-provider"/>
          <w:color w:val="auto"/>
          <w:lang w:val="fr-FR"/>
        </w:rPr>
        <w:t xml:space="preserve"> </w:t>
      </w:r>
      <w:proofErr w:type="spellStart"/>
      <w:r w:rsidRPr="00C9306D">
        <w:rPr>
          <w:rStyle w:val="ui-provider"/>
          <w:color w:val="auto"/>
          <w:lang w:val="fr-FR"/>
        </w:rPr>
        <w:t>Fujimura</w:t>
      </w:r>
      <w:proofErr w:type="spellEnd"/>
      <w:r w:rsidRPr="00C9306D">
        <w:rPr>
          <w:rStyle w:val="ui-provider"/>
          <w:color w:val="auto"/>
          <w:lang w:val="fr-FR"/>
        </w:rPr>
        <w:t xml:space="preserve">, président de la division </w:t>
      </w:r>
      <w:proofErr w:type="spellStart"/>
      <w:r w:rsidRPr="00C9306D">
        <w:rPr>
          <w:rStyle w:val="ui-provider"/>
          <w:color w:val="auto"/>
          <w:lang w:val="fr-FR"/>
        </w:rPr>
        <w:t>Semiconductor</w:t>
      </w:r>
      <w:proofErr w:type="spellEnd"/>
      <w:r w:rsidRPr="00C9306D">
        <w:rPr>
          <w:rStyle w:val="ui-provider"/>
          <w:color w:val="auto"/>
          <w:lang w:val="fr-FR"/>
        </w:rPr>
        <w:t xml:space="preserve"> - </w:t>
      </w:r>
      <w:proofErr w:type="spellStart"/>
      <w:r w:rsidRPr="00C9306D">
        <w:rPr>
          <w:rStyle w:val="ui-provider"/>
          <w:color w:val="auto"/>
          <w:lang w:val="fr-FR"/>
        </w:rPr>
        <w:t>European</w:t>
      </w:r>
      <w:proofErr w:type="spellEnd"/>
      <w:r w:rsidRPr="00C9306D">
        <w:rPr>
          <w:rStyle w:val="ui-provider"/>
          <w:color w:val="auto"/>
          <w:lang w:val="fr-FR"/>
        </w:rPr>
        <w:t xml:space="preserve"> Business Group, Mitsubishi Electric Europe B.V.</w:t>
      </w:r>
      <w:r w:rsidR="0077732D" w:rsidRPr="00EE2A5A">
        <w:rPr>
          <w:rStyle w:val="ui-provider"/>
          <w:color w:val="auto"/>
          <w:lang w:val="fr-FR"/>
        </w:rPr>
        <w:br/>
      </w:r>
    </w:p>
    <w:p w14:paraId="7E3D99EB" w14:textId="639C310E" w:rsidR="0077732D" w:rsidRPr="00EE2A5A" w:rsidRDefault="0077732D" w:rsidP="0077732D">
      <w:pPr>
        <w:rPr>
          <w:rFonts w:cs="Arial"/>
          <w:b/>
          <w:lang w:val="fr-FR"/>
        </w:rPr>
      </w:pPr>
      <w:r w:rsidRPr="00EE2A5A">
        <w:rPr>
          <w:rFonts w:cs="Arial"/>
          <w:b/>
          <w:bCs/>
          <w:lang w:val="fr-FR"/>
        </w:rPr>
        <w:t>Le programme général du salon professionnel : un baromètre des tendances</w:t>
      </w:r>
    </w:p>
    <w:p w14:paraId="063519E7" w14:textId="77777777" w:rsidR="0077732D" w:rsidRPr="00EE2A5A" w:rsidRDefault="0077732D" w:rsidP="0077732D">
      <w:pPr>
        <w:rPr>
          <w:rFonts w:cs="Arial"/>
          <w:bCs/>
          <w:lang w:val="fr-FR"/>
        </w:rPr>
      </w:pPr>
    </w:p>
    <w:p w14:paraId="54464D9B" w14:textId="33793F6A" w:rsidR="00A162C6" w:rsidRPr="00EE2A5A" w:rsidRDefault="0077732D" w:rsidP="00E8160B">
      <w:pPr>
        <w:pStyle w:val="Continuoustext"/>
        <w:rPr>
          <w:color w:val="auto"/>
          <w:lang w:val="fr-FR"/>
        </w:rPr>
      </w:pPr>
      <w:r w:rsidRPr="00EE2A5A">
        <w:rPr>
          <w:color w:val="auto"/>
          <w:lang w:val="fr-FR"/>
        </w:rPr>
        <w:t>Le programme général prestigieux du salon professionnel était plus étoffé que jamais. L’échange efficace de connaissances qui en résulte permet aux participants d’approfondir leur savoir en matière d’électronique de puissance sur des thèmes d’avenir tels que l’efficacité énergétique, la mobilité électrique et le stockage de l’énergie.</w:t>
      </w:r>
    </w:p>
    <w:p w14:paraId="04098A3A" w14:textId="6E699CF3" w:rsidR="00736D4B" w:rsidRPr="00EE2A5A" w:rsidRDefault="00736D4B" w:rsidP="00A162C6">
      <w:pPr>
        <w:pStyle w:val="Continuoustext"/>
        <w:rPr>
          <w:lang w:val="fr-FR"/>
        </w:rPr>
      </w:pPr>
      <w:r w:rsidRPr="00EE2A5A">
        <w:rPr>
          <w:lang w:val="fr-FR"/>
        </w:rPr>
        <w:t xml:space="preserve">Dans les halls 5, 6, 7 et 9, quatre scènes ont donné aux visiteurs l’occasion de renforcer leurs connaissances techniques et d’en acquérir de nouvelles. Le programme varié comprenait des exposés techniques brûlants d’actualité, des présentations de produits innovants, des exemples d’applications concrets et des tables rondes passionnantes. La </w:t>
      </w:r>
      <w:r w:rsidRPr="00EE2A5A">
        <w:rPr>
          <w:szCs w:val="22"/>
          <w:lang w:val="fr-FR"/>
        </w:rPr>
        <w:t xml:space="preserve">diversité des thèmes abordés </w:t>
      </w:r>
      <w:r w:rsidRPr="00EE2A5A">
        <w:rPr>
          <w:lang w:val="fr-FR"/>
        </w:rPr>
        <w:t>s’étendait des produits de l’électronique de puissance pour l’électromobilité et le stockage de l’énergie à la fabrication d’électronique de puissance.</w:t>
      </w:r>
    </w:p>
    <w:p w14:paraId="73821B49" w14:textId="58A6D3E5" w:rsidR="007F69A9" w:rsidRPr="00EE2A5A" w:rsidRDefault="00C937A7" w:rsidP="00701D02">
      <w:pPr>
        <w:pStyle w:val="berschrift3"/>
        <w:rPr>
          <w:lang w:val="fr-FR"/>
        </w:rPr>
      </w:pPr>
      <w:r w:rsidRPr="00EE2A5A">
        <w:rPr>
          <w:bCs/>
          <w:lang w:val="fr-FR"/>
        </w:rPr>
        <w:t>Proposer des synergies entre l’industrie et la science</w:t>
      </w:r>
    </w:p>
    <w:p w14:paraId="3A1D37B6" w14:textId="64B6F908" w:rsidR="009548CA" w:rsidRPr="00EE2A5A" w:rsidRDefault="006E004A" w:rsidP="009548CA">
      <w:pPr>
        <w:pStyle w:val="Continuoustext"/>
        <w:rPr>
          <w:lang w:val="fr-FR"/>
        </w:rPr>
      </w:pPr>
      <w:r w:rsidRPr="00EE2A5A">
        <w:rPr>
          <w:lang w:val="fr-FR"/>
        </w:rPr>
        <w:t>Grâce à la conférence qui l’accompagne, le PCIM Europe a proposé une plateforme unique en son genre, qui relie l’industrie et la science. L’</w:t>
      </w:r>
      <w:proofErr w:type="spellStart"/>
      <w:r w:rsidRPr="00EE2A5A">
        <w:rPr>
          <w:lang w:val="fr-FR"/>
        </w:rPr>
        <w:t>University</w:t>
      </w:r>
      <w:proofErr w:type="spellEnd"/>
      <w:r w:rsidRPr="00EE2A5A">
        <w:rPr>
          <w:lang w:val="fr-FR"/>
        </w:rPr>
        <w:t xml:space="preserve"> </w:t>
      </w:r>
      <w:proofErr w:type="spellStart"/>
      <w:r w:rsidRPr="00EE2A5A">
        <w:rPr>
          <w:lang w:val="fr-FR"/>
        </w:rPr>
        <w:t>Research</w:t>
      </w:r>
      <w:proofErr w:type="spellEnd"/>
      <w:r w:rsidRPr="00EE2A5A">
        <w:rPr>
          <w:lang w:val="fr-FR"/>
        </w:rPr>
        <w:t xml:space="preserve"> Zone sur le salon professionnel a, elle aussi, offert une immersion dans le paysage de la recherche en matière d’électronique de puissance avec des universités et des instituts qui changeaient tous les jours. Cette combinaison constitue une base importante pour l’évolution ultérieure du secteur.</w:t>
      </w:r>
    </w:p>
    <w:p w14:paraId="2968E27E" w14:textId="06E25D66" w:rsidR="00C56C0A" w:rsidRPr="00EE2A5A" w:rsidRDefault="009548CA" w:rsidP="006E004A">
      <w:pPr>
        <w:pStyle w:val="Continuoustext"/>
        <w:rPr>
          <w:lang w:val="fr-FR"/>
        </w:rPr>
      </w:pPr>
      <w:r w:rsidRPr="00EE2A5A">
        <w:rPr>
          <w:lang w:val="fr-FR"/>
        </w:rPr>
        <w:t>La conférence PCIM Europe 2024 s’est achevée sur un bilan de trois jours pleins d’inspiration, d’innovation et d’échange.</w:t>
      </w:r>
    </w:p>
    <w:p w14:paraId="37C5BEAF" w14:textId="77777777" w:rsidR="00467388" w:rsidRPr="00EE2A5A" w:rsidRDefault="00467388" w:rsidP="00467388">
      <w:pPr>
        <w:rPr>
          <w:lang w:val="fr-FR"/>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EE2A5A"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EE2A5A" w:rsidRDefault="009A6630" w:rsidP="009A6630">
            <w:pPr>
              <w:ind w:left="0"/>
              <w:rPr>
                <w:lang w:val="fr-FR"/>
              </w:rPr>
            </w:pPr>
            <w:r w:rsidRPr="00EE2A5A">
              <w:rPr>
                <w:noProof/>
                <w:lang w:val="fr-FR"/>
              </w:rPr>
              <w:drawing>
                <wp:inline distT="0" distB="0" distL="0" distR="0" wp14:anchorId="296ECBF8" wp14:editId="328C13E9">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EE2A5A" w14:paraId="0FA86FF7" w14:textId="77777777" w:rsidTr="006241DE">
        <w:tc>
          <w:tcPr>
            <w:tcW w:w="5953" w:type="dxa"/>
          </w:tcPr>
          <w:p w14:paraId="771C319E" w14:textId="74A8C5FA" w:rsidR="00A3041E" w:rsidRPr="00EE2A5A" w:rsidRDefault="00203C1C" w:rsidP="00C85550">
            <w:pPr>
              <w:pStyle w:val="Imagecaption"/>
              <w:rPr>
                <w:lang w:val="fr-FR"/>
              </w:rPr>
            </w:pPr>
            <w:proofErr w:type="gramStart"/>
            <w:r w:rsidRPr="00203C1C">
              <w:rPr>
                <w:lang w:val="fr-FR"/>
              </w:rPr>
              <w:lastRenderedPageBreak/>
              <w:t>Copyright:</w:t>
            </w:r>
            <w:proofErr w:type="gramEnd"/>
            <w:r w:rsidRPr="00203C1C">
              <w:rPr>
                <w:lang w:val="fr-FR"/>
              </w:rPr>
              <w:t xml:space="preserve"> Mesago Messe Frankfurt GmbH / Arturo Rivas</w:t>
            </w:r>
          </w:p>
        </w:tc>
      </w:tr>
    </w:tbl>
    <w:p w14:paraId="2EF642E1" w14:textId="6D1A7276" w:rsidR="00E968D6" w:rsidRPr="00EE2A5A" w:rsidRDefault="0064599E" w:rsidP="0064599E">
      <w:pPr>
        <w:rPr>
          <w:rFonts w:cs="Arial"/>
          <w:b/>
          <w:lang w:val="fr-FR"/>
        </w:rPr>
      </w:pPr>
      <w:r w:rsidRPr="00EE2A5A">
        <w:rPr>
          <w:rFonts w:cs="Arial"/>
          <w:b/>
          <w:bCs/>
          <w:lang w:val="fr-FR"/>
        </w:rPr>
        <w:t>PCIM Europe digital : tous les exposés disponibles à la demande</w:t>
      </w:r>
      <w:r w:rsidRPr="00EE2A5A">
        <w:rPr>
          <w:rFonts w:cs="Arial"/>
          <w:lang w:val="fr-FR"/>
        </w:rPr>
        <w:br/>
      </w:r>
    </w:p>
    <w:p w14:paraId="409B3F2E" w14:textId="0219FD35" w:rsidR="0064599E" w:rsidRPr="00EE2A5A" w:rsidRDefault="0064599E" w:rsidP="0064599E">
      <w:pPr>
        <w:rPr>
          <w:rFonts w:cs="Arial"/>
          <w:lang w:val="fr-FR"/>
        </w:rPr>
      </w:pPr>
      <w:r w:rsidRPr="00EE2A5A">
        <w:rPr>
          <w:rFonts w:cs="Arial"/>
          <w:lang w:val="fr-FR"/>
        </w:rPr>
        <w:t>Cette année, l’événement a été complété par le PCIM Europe digital. L’ensemble du programme des exposés du salon professionnel et de la conférence est disponible à la demande pour les personnes intéressées jusqu’au 31 juillet 2024. Il est également possible d’explorer les profils des exposants et des produits et de tirer parti des possibilités de réseautage avec la communauté.</w:t>
      </w:r>
    </w:p>
    <w:p w14:paraId="3033F8F5" w14:textId="77777777" w:rsidR="0064599E" w:rsidRPr="00EE2A5A" w:rsidRDefault="0064599E" w:rsidP="0064599E">
      <w:pPr>
        <w:rPr>
          <w:rFonts w:cs="Arial"/>
          <w:lang w:val="fr-FR"/>
        </w:rPr>
      </w:pPr>
    </w:p>
    <w:p w14:paraId="11C86DF1" w14:textId="3A139E11" w:rsidR="0064599E" w:rsidRPr="00EE2A5A" w:rsidRDefault="0064599E" w:rsidP="0064599E">
      <w:pPr>
        <w:rPr>
          <w:rFonts w:cs="Arial"/>
          <w:lang w:val="fr-FR"/>
        </w:rPr>
      </w:pPr>
      <w:r w:rsidRPr="00EE2A5A">
        <w:rPr>
          <w:rFonts w:cs="Arial"/>
          <w:lang w:val="fr-FR"/>
        </w:rPr>
        <w:t>Le contenu du salon professionnel est librement accessible à tous afin de permettre à ceux qui n’ont pas pu se rendre sur place de profiter du vaste programme d’exposés proposé sur les quatre scènes. L’accès aux exposés de la conférence est possible avec un ticket spécial, qui peut également être acheté après l’événement.</w:t>
      </w:r>
    </w:p>
    <w:p w14:paraId="28BF5708" w14:textId="77777777" w:rsidR="00E968D6" w:rsidRPr="00EE2A5A" w:rsidRDefault="00E968D6" w:rsidP="0064599E">
      <w:pPr>
        <w:spacing w:line="320" w:lineRule="exact"/>
        <w:ind w:left="0"/>
        <w:rPr>
          <w:rFonts w:cs="Arial"/>
          <w:lang w:val="fr-FR"/>
        </w:rPr>
      </w:pPr>
    </w:p>
    <w:p w14:paraId="742AA6EA" w14:textId="6910AEA4" w:rsidR="00E968D6" w:rsidRPr="00EE2A5A" w:rsidRDefault="00E968D6" w:rsidP="00E968D6">
      <w:pPr>
        <w:spacing w:line="320" w:lineRule="exact"/>
        <w:rPr>
          <w:rFonts w:cs="Arial"/>
          <w:b/>
          <w:bCs/>
          <w:lang w:val="fr-FR"/>
        </w:rPr>
      </w:pPr>
      <w:r w:rsidRPr="00EE2A5A">
        <w:rPr>
          <w:rFonts w:cs="Arial"/>
          <w:b/>
          <w:bCs/>
          <w:lang w:val="fr-FR"/>
        </w:rPr>
        <w:t>Perspectives</w:t>
      </w:r>
    </w:p>
    <w:p w14:paraId="45BB2EB0" w14:textId="77777777" w:rsidR="00E968D6" w:rsidRPr="00EE2A5A" w:rsidRDefault="00E968D6" w:rsidP="00E968D6">
      <w:pPr>
        <w:spacing w:line="320" w:lineRule="exact"/>
        <w:rPr>
          <w:rFonts w:cs="Arial"/>
          <w:b/>
          <w:bCs/>
          <w:lang w:val="fr-FR"/>
        </w:rPr>
      </w:pPr>
    </w:p>
    <w:p w14:paraId="71B24A1E" w14:textId="05EEC9A8" w:rsidR="0064599E" w:rsidRPr="00EE2A5A" w:rsidRDefault="0064599E" w:rsidP="0064599E">
      <w:pPr>
        <w:rPr>
          <w:rFonts w:cs="Arial"/>
          <w:bCs/>
          <w:lang w:val="fr-FR"/>
        </w:rPr>
      </w:pPr>
      <w:r w:rsidRPr="00EE2A5A">
        <w:rPr>
          <w:rFonts w:cs="Arial"/>
          <w:lang w:val="fr-FR"/>
        </w:rPr>
        <w:t xml:space="preserve">Une analyse approfondie du salon PCIM Europe 2024 avec des résultats détaillés sera disponible vraisemblablement fin juillet avec l’Exhibition &amp; </w:t>
      </w:r>
      <w:proofErr w:type="spellStart"/>
      <w:r w:rsidRPr="00EE2A5A">
        <w:rPr>
          <w:rFonts w:cs="Arial"/>
          <w:lang w:val="fr-FR"/>
        </w:rPr>
        <w:t>Conference</w:t>
      </w:r>
      <w:proofErr w:type="spellEnd"/>
      <w:r w:rsidRPr="00EE2A5A">
        <w:rPr>
          <w:rFonts w:cs="Arial"/>
          <w:lang w:val="fr-FR"/>
        </w:rPr>
        <w:t xml:space="preserve"> </w:t>
      </w:r>
      <w:proofErr w:type="spellStart"/>
      <w:r w:rsidRPr="00EE2A5A">
        <w:rPr>
          <w:rFonts w:cs="Arial"/>
          <w:lang w:val="fr-FR"/>
        </w:rPr>
        <w:t>Summary</w:t>
      </w:r>
      <w:proofErr w:type="spellEnd"/>
      <w:r w:rsidRPr="00EE2A5A">
        <w:rPr>
          <w:rFonts w:cs="Arial"/>
          <w:lang w:val="fr-FR"/>
        </w:rPr>
        <w:t xml:space="preserve">. Vous pouvez télécharger des photos imprimables de la manifestation dans l’espace réservé à la presse sur le site </w:t>
      </w:r>
      <w:hyperlink r:id="rId7" w:history="1">
        <w:r w:rsidRPr="00EE2A5A">
          <w:rPr>
            <w:rStyle w:val="Hyperlink"/>
            <w:lang w:val="fr-FR"/>
          </w:rPr>
          <w:t>pcim.de</w:t>
        </w:r>
      </w:hyperlink>
      <w:r w:rsidRPr="00EE2A5A">
        <w:rPr>
          <w:rFonts w:cs="Arial"/>
          <w:lang w:val="fr-FR"/>
        </w:rPr>
        <w:t>.</w:t>
      </w:r>
    </w:p>
    <w:p w14:paraId="7F8472BA" w14:textId="77777777" w:rsidR="007A4000" w:rsidRPr="00EE2A5A" w:rsidRDefault="007A4000" w:rsidP="00A162C6">
      <w:pPr>
        <w:spacing w:line="320" w:lineRule="exact"/>
        <w:ind w:left="0"/>
        <w:rPr>
          <w:rFonts w:cs="Arial"/>
          <w:lang w:val="fr-FR"/>
        </w:rPr>
      </w:pPr>
    </w:p>
    <w:p w14:paraId="45D92C9F" w14:textId="0A10A6B8" w:rsidR="00A162C6" w:rsidRPr="00EE2A5A" w:rsidRDefault="007A4000" w:rsidP="00A162C6">
      <w:pPr>
        <w:spacing w:line="320" w:lineRule="exact"/>
        <w:rPr>
          <w:lang w:val="fr-FR"/>
        </w:rPr>
      </w:pPr>
      <w:r w:rsidRPr="00EE2A5A">
        <w:rPr>
          <w:lang w:val="fr-FR"/>
        </w:rPr>
        <w:t xml:space="preserve">À partir de l'année prochaine, le salon professionnel et la conférence porteront le nom de « PCIM Expo &amp; Conference ». L’ajout du nom « Europe » n’est plus nécessaire, car la manifestation jouit d’une grande popularité internationale et accueille chaque année un grand nombre de participants du monde entier. </w:t>
      </w:r>
    </w:p>
    <w:p w14:paraId="0190CA7D" w14:textId="77777777" w:rsidR="00A162C6" w:rsidRPr="00EE2A5A" w:rsidRDefault="00A162C6" w:rsidP="00A162C6">
      <w:pPr>
        <w:spacing w:line="320" w:lineRule="exact"/>
        <w:rPr>
          <w:rFonts w:ascii="Arial" w:hAnsi="Arial" w:cs="Arial"/>
          <w:color w:val="auto"/>
          <w:sz w:val="20"/>
          <w:szCs w:val="20"/>
          <w:lang w:val="fr-FR"/>
        </w:rPr>
      </w:pPr>
    </w:p>
    <w:p w14:paraId="3DDF0A04" w14:textId="77777777" w:rsidR="007A4000" w:rsidRPr="00EE2A5A" w:rsidRDefault="007A4000" w:rsidP="00A162C6">
      <w:pPr>
        <w:spacing w:line="320" w:lineRule="exact"/>
        <w:ind w:left="0"/>
        <w:rPr>
          <w:rFonts w:cs="Arial"/>
          <w:lang w:val="fr-FR"/>
        </w:rPr>
      </w:pPr>
    </w:p>
    <w:p w14:paraId="0A154984" w14:textId="6ABF5EEA" w:rsidR="007B2F67" w:rsidRPr="00EE2A5A" w:rsidRDefault="007C62B4" w:rsidP="00A15BC8">
      <w:pPr>
        <w:pStyle w:val="Continuoustext"/>
        <w:rPr>
          <w:lang w:val="fr-FR"/>
        </w:rPr>
      </w:pPr>
      <w:r w:rsidRPr="00EE2A5A">
        <w:rPr>
          <w:lang w:val="fr-FR"/>
        </w:rPr>
        <w:t>PCIM Expo &amp; Conference</w:t>
      </w:r>
    </w:p>
    <w:p w14:paraId="6DB1F869" w14:textId="16C9CBE2" w:rsidR="00A15BC8" w:rsidRPr="00EE2A5A" w:rsidRDefault="00281D02" w:rsidP="00A15BC8">
      <w:pPr>
        <w:pStyle w:val="Continuoustext"/>
        <w:rPr>
          <w:lang w:val="fr-FR"/>
        </w:rPr>
      </w:pPr>
      <w:r w:rsidRPr="00EE2A5A">
        <w:rPr>
          <w:lang w:val="fr-FR"/>
        </w:rPr>
        <w:t xml:space="preserve">Salon professionnel international et </w:t>
      </w:r>
      <w:proofErr w:type="gramStart"/>
      <w:r w:rsidRPr="00EE2A5A">
        <w:rPr>
          <w:lang w:val="fr-FR"/>
        </w:rPr>
        <w:t>conférence dédiés</w:t>
      </w:r>
      <w:proofErr w:type="gramEnd"/>
      <w:r w:rsidRPr="00EE2A5A">
        <w:rPr>
          <w:lang w:val="fr-FR"/>
        </w:rPr>
        <w:t xml:space="preserve"> à l’électronique de puissance, à la technologie d’entraînement intelligente, aux énergies renouvelables et à la gestion de l’énergie</w:t>
      </w:r>
    </w:p>
    <w:p w14:paraId="10D66F77" w14:textId="0D3C8BF9" w:rsidR="0075467C" w:rsidRPr="00EE2A5A" w:rsidRDefault="0075467C" w:rsidP="0075467C">
      <w:pPr>
        <w:spacing w:line="320" w:lineRule="exact"/>
        <w:rPr>
          <w:rFonts w:cs="Arial"/>
          <w:lang w:val="fr-FR"/>
        </w:rPr>
      </w:pPr>
      <w:r w:rsidRPr="00EE2A5A">
        <w:rPr>
          <w:rFonts w:cs="Arial"/>
          <w:lang w:val="fr-FR"/>
        </w:rPr>
        <w:t xml:space="preserve">L’année prochaine, le PCIM Expo &amp; Conference aura lieu du 06 au 08 juin 2025, au parc des expositions de Nuremberg. </w:t>
      </w:r>
    </w:p>
    <w:p w14:paraId="17B398E8" w14:textId="77777777" w:rsidR="0075467C" w:rsidRPr="00EE2A5A" w:rsidRDefault="0075467C" w:rsidP="00673621">
      <w:pPr>
        <w:pStyle w:val="Continuoustext"/>
        <w:rPr>
          <w:lang w:val="fr-FR"/>
        </w:rPr>
      </w:pPr>
    </w:p>
    <w:p w14:paraId="44A47CA6" w14:textId="77777777" w:rsidR="00EE2A5A" w:rsidRPr="00444640" w:rsidRDefault="00EE2A5A" w:rsidP="00EE2A5A">
      <w:pPr>
        <w:pStyle w:val="berschrift4"/>
        <w:rPr>
          <w:rFonts w:ascii="Arial" w:hAnsi="Arial"/>
          <w:lang w:val="fr-FR"/>
        </w:rPr>
      </w:pPr>
      <w:bookmarkStart w:id="3" w:name="Presseueberschrift"/>
      <w:bookmarkStart w:id="4" w:name="hinweisueberschrift"/>
      <w:bookmarkEnd w:id="3"/>
      <w:bookmarkEnd w:id="4"/>
      <w:r w:rsidRPr="00444640">
        <w:rPr>
          <w:rFonts w:ascii="Arial" w:hAnsi="Arial"/>
          <w:bCs/>
          <w:iCs w:val="0"/>
          <w:lang w:val="fr-FR"/>
        </w:rPr>
        <w:t>Communiqués de presse et documents photographiques :</w:t>
      </w:r>
    </w:p>
    <w:bookmarkStart w:id="5" w:name="Journalisten"/>
    <w:bookmarkEnd w:id="5"/>
    <w:p w14:paraId="754ED324" w14:textId="77777777" w:rsidR="00EE2A5A" w:rsidRPr="00444640" w:rsidRDefault="00EE2A5A" w:rsidP="00EE2A5A">
      <w:pPr>
        <w:pStyle w:val="Continuoustext"/>
        <w:rPr>
          <w:lang w:val="fr-FR"/>
        </w:rPr>
      </w:pPr>
      <w:r w:rsidRPr="00444640">
        <w:rPr>
          <w:lang w:val="fr-FR"/>
        </w:rPr>
        <w:fldChar w:fldCharType="begin"/>
      </w:r>
      <w:r w:rsidRPr="00444640">
        <w:rPr>
          <w:lang w:val="fr-FR"/>
        </w:rPr>
        <w:instrText xml:space="preserve"> HYPERLINK "https://pcim.mesago.com/nuernberg/en/press.html" </w:instrText>
      </w:r>
      <w:r w:rsidRPr="00444640">
        <w:rPr>
          <w:lang w:val="fr-FR"/>
        </w:rPr>
      </w:r>
      <w:r w:rsidRPr="00444640">
        <w:rPr>
          <w:lang w:val="fr-FR"/>
        </w:rPr>
        <w:fldChar w:fldCharType="separate"/>
      </w:r>
      <w:hyperlink r:id="rId8" w:history="1">
        <w:hyperlink r:id="rId9" w:history="1">
          <w:r w:rsidRPr="00444640">
            <w:rPr>
              <w:rStyle w:val="Hyperlink"/>
              <w:lang w:val="fr-FR"/>
            </w:rPr>
            <w:t xml:space="preserve">Presse - PCIM Europe </w:t>
          </w:r>
        </w:hyperlink>
      </w:hyperlink>
      <w:r w:rsidRPr="00444640">
        <w:rPr>
          <w:lang w:val="fr-FR"/>
        </w:rPr>
        <w:fldChar w:fldCharType="end"/>
      </w:r>
    </w:p>
    <w:p w14:paraId="6C0704B6" w14:textId="77777777" w:rsidR="00EE2A5A" w:rsidRPr="00444640" w:rsidRDefault="00EE2A5A" w:rsidP="00EE2A5A">
      <w:pPr>
        <w:pStyle w:val="berschrift4"/>
        <w:rPr>
          <w:rFonts w:ascii="Arial" w:hAnsi="Arial"/>
          <w:lang w:val="fr-FR"/>
        </w:rPr>
      </w:pPr>
      <w:r w:rsidRPr="00444640">
        <w:rPr>
          <w:rFonts w:ascii="Arial" w:hAnsi="Arial"/>
          <w:bCs/>
          <w:iCs w:val="0"/>
          <w:lang w:val="fr-FR"/>
        </w:rPr>
        <w:t>Liens vers les sites Web :</w:t>
      </w:r>
    </w:p>
    <w:bookmarkStart w:id="6" w:name="Netz"/>
    <w:bookmarkEnd w:id="6"/>
    <w:p w14:paraId="644CA50A" w14:textId="77777777" w:rsidR="00EE2A5A" w:rsidRPr="00444640" w:rsidRDefault="00EE2A5A" w:rsidP="00EE2A5A">
      <w:pPr>
        <w:pStyle w:val="Continuoustext"/>
        <w:rPr>
          <w:color w:val="auto"/>
          <w:lang w:val="fr-FR"/>
        </w:rPr>
      </w:pPr>
      <w:r w:rsidRPr="00444640">
        <w:rPr>
          <w:lang w:val="fr-FR"/>
        </w:rPr>
        <w:fldChar w:fldCharType="begin"/>
      </w:r>
      <w:r w:rsidRPr="00444640">
        <w:rPr>
          <w:lang w:val="fr-FR"/>
        </w:rPr>
        <w:instrText xml:space="preserve"> HYPERLINK "https://pcim.mesago.com/events/de.html" </w:instrText>
      </w:r>
      <w:r w:rsidRPr="00444640">
        <w:rPr>
          <w:lang w:val="fr-FR"/>
        </w:rPr>
      </w:r>
      <w:r w:rsidRPr="00444640">
        <w:rPr>
          <w:lang w:val="fr-FR"/>
        </w:rPr>
        <w:fldChar w:fldCharType="separate"/>
      </w:r>
      <w:r w:rsidRPr="00444640">
        <w:rPr>
          <w:rStyle w:val="Hyperlink"/>
          <w:lang w:val="fr-FR"/>
        </w:rPr>
        <w:t>PCIM Europe – l’événement pour l’électronique de puissance</w:t>
      </w:r>
      <w:r w:rsidRPr="00444640">
        <w:rPr>
          <w:lang w:val="fr-FR"/>
        </w:rPr>
        <w:fldChar w:fldCharType="end"/>
      </w:r>
      <w:r w:rsidRPr="00444640">
        <w:rPr>
          <w:color w:val="auto"/>
          <w:lang w:val="fr-FR"/>
        </w:rPr>
        <w:t xml:space="preserve"> </w:t>
      </w:r>
      <w:r w:rsidRPr="00444640">
        <w:rPr>
          <w:color w:val="auto"/>
          <w:lang w:val="fr-FR"/>
        </w:rPr>
        <w:br/>
      </w:r>
      <w:hyperlink r:id="rId10" w:history="1">
        <w:r w:rsidRPr="00444640">
          <w:rPr>
            <w:rStyle w:val="Hyperlink"/>
            <w:lang w:val="fr-FR"/>
          </w:rPr>
          <w:t>https://twitter.com/pcimeurope</w:t>
        </w:r>
      </w:hyperlink>
      <w:r w:rsidRPr="00444640">
        <w:rPr>
          <w:color w:val="auto"/>
          <w:lang w:val="fr-FR"/>
        </w:rPr>
        <w:br/>
      </w:r>
      <w:hyperlink r:id="rId11" w:history="1">
        <w:r w:rsidRPr="00444640">
          <w:rPr>
            <w:rStyle w:val="Hyperlink"/>
            <w:lang w:val="fr-FR"/>
          </w:rPr>
          <w:t>https://www.facebook.com/pcimeurope</w:t>
        </w:r>
      </w:hyperlink>
      <w:r w:rsidRPr="00444640">
        <w:rPr>
          <w:color w:val="auto"/>
          <w:lang w:val="fr-FR"/>
        </w:rPr>
        <w:t>/</w:t>
      </w:r>
      <w:r w:rsidRPr="00444640">
        <w:rPr>
          <w:color w:val="auto"/>
          <w:lang w:val="fr-FR"/>
        </w:rPr>
        <w:br/>
      </w:r>
      <w:hyperlink r:id="rId12" w:history="1">
        <w:r w:rsidRPr="00444640">
          <w:rPr>
            <w:rStyle w:val="Hyperlink"/>
            <w:lang w:val="fr-FR"/>
          </w:rPr>
          <w:t>https://www.linkedin.com/showcase/pcim-europe/</w:t>
        </w:r>
      </w:hyperlink>
    </w:p>
    <w:p w14:paraId="6B645243" w14:textId="77777777" w:rsidR="00EE2A5A" w:rsidRPr="00444640" w:rsidRDefault="00EE2A5A" w:rsidP="00EE2A5A">
      <w:pPr>
        <w:pStyle w:val="xGaplogogram"/>
        <w:rPr>
          <w:lang w:val="fr-FR"/>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E2A5A" w:rsidRPr="00444640" w14:paraId="6C705FA7" w14:textId="77777777" w:rsidTr="00912629">
        <w:tc>
          <w:tcPr>
            <w:tcW w:w="5000" w:type="pct"/>
            <w:tcMar>
              <w:top w:w="0" w:type="dxa"/>
              <w:left w:w="142" w:type="dxa"/>
              <w:bottom w:w="0" w:type="dxa"/>
              <w:right w:w="0" w:type="dxa"/>
            </w:tcMar>
            <w:hideMark/>
          </w:tcPr>
          <w:p w14:paraId="02B4C82F" w14:textId="77777777" w:rsidR="00EE2A5A" w:rsidRPr="00444640" w:rsidRDefault="00EE2A5A" w:rsidP="00912629">
            <w:pPr>
              <w:pStyle w:val="Logogram"/>
              <w:rPr>
                <w:rFonts w:ascii="Arial" w:hAnsi="Arial"/>
                <w:lang w:val="fr-FR"/>
              </w:rPr>
            </w:pPr>
            <w:r w:rsidRPr="00444640">
              <w:rPr>
                <w:rFonts w:ascii="Arial" w:hAnsi="Arial"/>
                <w:bCs/>
                <w:iCs w:val="0"/>
                <w:noProof/>
                <w:lang w:val="fr-FR"/>
              </w:rPr>
              <w:drawing>
                <wp:anchor distT="0" distB="0" distL="114300" distR="114300" simplePos="0" relativeHeight="251659264" behindDoc="1" locked="0" layoutInCell="1" allowOverlap="1" wp14:anchorId="4374A614" wp14:editId="6D14161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EE2A5A" w:rsidRPr="00FE6755" w14:paraId="7C64C32F" w14:textId="77777777" w:rsidTr="00912629">
        <w:tc>
          <w:tcPr>
            <w:tcW w:w="5000" w:type="pct"/>
            <w:hideMark/>
          </w:tcPr>
          <w:p w14:paraId="2E128CCC" w14:textId="77777777" w:rsidR="00EE2A5A" w:rsidRPr="00444640" w:rsidRDefault="00EE2A5A" w:rsidP="00912629">
            <w:pPr>
              <w:pStyle w:val="Contact"/>
              <w:rPr>
                <w:rFonts w:ascii="Arial" w:hAnsi="Arial"/>
                <w:lang w:val="fr-FR"/>
              </w:rPr>
            </w:pPr>
            <w:r w:rsidRPr="00444640">
              <w:rPr>
                <w:rFonts w:ascii="Arial" w:hAnsi="Arial"/>
                <w:bCs/>
                <w:iCs w:val="0"/>
                <w:lang w:val="fr-FR"/>
              </w:rPr>
              <w:t>Votre contact :</w:t>
            </w:r>
          </w:p>
          <w:p w14:paraId="18B033B8" w14:textId="77777777" w:rsidR="00EE2A5A" w:rsidRPr="00444640" w:rsidRDefault="00EE2A5A" w:rsidP="00912629">
            <w:pPr>
              <w:pStyle w:val="Continuoustext"/>
              <w:rPr>
                <w:lang w:val="fr-FR"/>
              </w:rPr>
            </w:pPr>
            <w:r w:rsidRPr="00444640">
              <w:rPr>
                <w:lang w:val="fr-FR"/>
              </w:rPr>
              <w:t>Vineeta Manglani</w:t>
            </w:r>
            <w:r w:rsidRPr="00444640">
              <w:rPr>
                <w:lang w:val="fr-FR"/>
              </w:rPr>
              <w:br/>
              <w:t>Téléphone : +49 711 61946-297</w:t>
            </w:r>
            <w:r w:rsidRPr="00444640">
              <w:rPr>
                <w:lang w:val="fr-FR"/>
              </w:rPr>
              <w:br/>
              <w:t>Vineeta.Manglani@mesago.com</w:t>
            </w:r>
          </w:p>
          <w:p w14:paraId="3ABCE9DE" w14:textId="77777777" w:rsidR="00EE2A5A" w:rsidRPr="00444640" w:rsidRDefault="00EE2A5A" w:rsidP="00912629">
            <w:pPr>
              <w:pStyle w:val="Continuoustext"/>
              <w:rPr>
                <w:lang w:val="fr-FR"/>
              </w:rPr>
            </w:pPr>
            <w:r w:rsidRPr="00444640">
              <w:rPr>
                <w:lang w:val="fr-FR"/>
              </w:rPr>
              <w:t>Mesago Messe Frankfurt GmbH</w:t>
            </w:r>
            <w:r w:rsidRPr="00444640">
              <w:rPr>
                <w:lang w:val="fr-FR"/>
              </w:rPr>
              <w:br/>
            </w:r>
            <w:proofErr w:type="spellStart"/>
            <w:r w:rsidRPr="00444640">
              <w:rPr>
                <w:lang w:val="fr-FR"/>
              </w:rPr>
              <w:t>Rotebühlstraße</w:t>
            </w:r>
            <w:proofErr w:type="spellEnd"/>
            <w:r w:rsidRPr="00444640">
              <w:rPr>
                <w:lang w:val="fr-FR"/>
              </w:rPr>
              <w:t xml:space="preserve"> 83-85</w:t>
            </w:r>
            <w:r w:rsidRPr="00444640">
              <w:rPr>
                <w:lang w:val="fr-FR"/>
              </w:rPr>
              <w:br/>
              <w:t>D-70178 Stuttgart</w:t>
            </w:r>
            <w:r w:rsidRPr="00444640">
              <w:rPr>
                <w:lang w:val="fr-FR"/>
              </w:rPr>
              <w:br/>
            </w:r>
            <w:hyperlink r:id="rId14" w:history="1">
              <w:r w:rsidRPr="00444640">
                <w:rPr>
                  <w:rStyle w:val="Hyperlink"/>
                  <w:lang w:val="fr-FR"/>
                </w:rPr>
                <w:t>www.mesago.com</w:t>
              </w:r>
            </w:hyperlink>
          </w:p>
        </w:tc>
      </w:tr>
    </w:tbl>
    <w:p w14:paraId="40A0E499" w14:textId="77777777" w:rsidR="00EE2A5A" w:rsidRPr="00444640" w:rsidRDefault="00EE2A5A" w:rsidP="00EE2A5A">
      <w:pPr>
        <w:rPr>
          <w:rFonts w:ascii="Arial" w:eastAsia="Times New Roman" w:hAnsi="Arial" w:cstheme="majorBidi"/>
          <w:b/>
          <w:iCs/>
          <w:lang w:val="fr-FR"/>
        </w:rPr>
      </w:pPr>
      <w:r w:rsidRPr="00444640">
        <w:rPr>
          <w:rFonts w:ascii="Arial" w:eastAsia="Times New Roman" w:hAnsi="Arial" w:cstheme="majorBidi"/>
          <w:b/>
          <w:bCs/>
          <w:lang w:val="fr-FR"/>
        </w:rPr>
        <w:t>À propos de Mesago Messe Frankfurt</w:t>
      </w:r>
    </w:p>
    <w:p w14:paraId="776EAB9A" w14:textId="77777777" w:rsidR="00EE2A5A" w:rsidRPr="00444640" w:rsidRDefault="00EE2A5A" w:rsidP="00EE2A5A">
      <w:pPr>
        <w:rPr>
          <w:rFonts w:ascii="Arial" w:eastAsia="Times New Roman" w:hAnsi="Arial" w:cstheme="majorBidi"/>
          <w:b/>
          <w:iCs/>
          <w:lang w:val="fr-FR"/>
        </w:rPr>
      </w:pPr>
      <w:r w:rsidRPr="00444640">
        <w:rPr>
          <w:rFonts w:ascii="Arial" w:hAnsi="Arial" w:cs="Arial"/>
          <w:lang w:val="fr-FR"/>
        </w:rPr>
        <w:t>Mesago, dont le siège se trouve à Stuttgart, a été fondé en 1982 et organise des salons, congrès et séminaires ciblés, essentiellement axés sur la technologie. L’entreprise fait partie de Messe Frankfurt Group. Mesago opère à l’échelle internationale, sans lien avec un lieu géographique précis, et organise chaque année, avec 160 collaborateurs, des salons et congrès pouvant réunir plus de 3 300 exposants et accueillir quelque 110 000 visiteurs professionnels, congressistes et intervenants. Un grand nombre d’associations, maisons d’édition, instituts scientifiques et universités sont unis par des liens très étroits aux événements organisés par Mesago, en qualité de vecteurs d’idées, co-organisateurs et partenaires. (</w:t>
      </w:r>
      <w:proofErr w:type="gramStart"/>
      <w:r w:rsidRPr="00444640">
        <w:rPr>
          <w:rFonts w:ascii="Arial" w:hAnsi="Arial" w:cs="Arial"/>
          <w:lang w:val="fr-FR"/>
        </w:rPr>
        <w:t>mesago.com</w:t>
      </w:r>
      <w:proofErr w:type="gramEnd"/>
      <w:r w:rsidRPr="00444640">
        <w:rPr>
          <w:rFonts w:ascii="Arial" w:hAnsi="Arial" w:cs="Arial"/>
          <w:lang w:val="fr-FR"/>
        </w:rPr>
        <w:t>)</w:t>
      </w:r>
    </w:p>
    <w:p w14:paraId="6BBA33F8" w14:textId="77777777" w:rsidR="00EE2A5A" w:rsidRPr="00444640" w:rsidRDefault="00EE2A5A" w:rsidP="00EE2A5A">
      <w:pPr>
        <w:pStyle w:val="berschrift4"/>
        <w:rPr>
          <w:rFonts w:ascii="Arial" w:eastAsia="Times New Roman" w:hAnsi="Arial"/>
          <w:lang w:val="fr-FR"/>
        </w:rPr>
      </w:pPr>
      <w:r w:rsidRPr="00444640">
        <w:rPr>
          <w:rFonts w:ascii="Arial" w:eastAsia="Times New Roman" w:hAnsi="Arial"/>
          <w:bCs/>
          <w:iCs w:val="0"/>
          <w:lang w:val="fr-FR"/>
        </w:rPr>
        <w:t>Informations générales sur Messe Frankfurt</w:t>
      </w:r>
    </w:p>
    <w:p w14:paraId="6168A934" w14:textId="77777777" w:rsidR="00EE2A5A" w:rsidRPr="00444640" w:rsidRDefault="00FE6755" w:rsidP="00EE2A5A">
      <w:pPr>
        <w:pStyle w:val="Continuoustext"/>
        <w:rPr>
          <w:rStyle w:val="Hyperlink"/>
          <w:lang w:val="fr-FR"/>
        </w:rPr>
      </w:pPr>
      <w:hyperlink r:id="rId15" w:history="1">
        <w:r w:rsidR="00EE2A5A" w:rsidRPr="00444640">
          <w:rPr>
            <w:rStyle w:val="Hyperlink"/>
            <w:lang w:val="fr-FR"/>
          </w:rPr>
          <w:t>www.messefrankfurt.com/hintergrundinformation</w:t>
        </w:r>
      </w:hyperlink>
    </w:p>
    <w:p w14:paraId="07301054" w14:textId="77777777" w:rsidR="00EE2A5A" w:rsidRPr="00444640" w:rsidRDefault="00EE2A5A" w:rsidP="00EE2A5A">
      <w:pPr>
        <w:pStyle w:val="berschrift4"/>
        <w:rPr>
          <w:rFonts w:ascii="Arial" w:eastAsia="Times New Roman" w:hAnsi="Arial"/>
          <w:lang w:val="fr-FR"/>
        </w:rPr>
      </w:pPr>
      <w:r w:rsidRPr="00444640">
        <w:rPr>
          <w:rFonts w:ascii="Arial" w:eastAsia="Times New Roman" w:hAnsi="Arial"/>
          <w:bCs/>
          <w:iCs w:val="0"/>
          <w:lang w:val="fr-FR"/>
        </w:rPr>
        <w:t>Durabilité chez Messe Frankfurt</w:t>
      </w:r>
    </w:p>
    <w:p w14:paraId="59EF1139" w14:textId="77777777" w:rsidR="00EE2A5A" w:rsidRPr="00444640" w:rsidRDefault="00FE6755" w:rsidP="00EE2A5A">
      <w:pPr>
        <w:pStyle w:val="Continuoustext"/>
        <w:rPr>
          <w:lang w:val="fr-FR"/>
        </w:rPr>
      </w:pPr>
      <w:hyperlink r:id="rId16" w:history="1">
        <w:r w:rsidR="00EE2A5A" w:rsidRPr="00444640">
          <w:rPr>
            <w:rStyle w:val="Hyperlink"/>
            <w:lang w:val="fr-FR"/>
          </w:rPr>
          <w:t>www.messefrankfurt.com/sustainability-information</w:t>
        </w:r>
      </w:hyperlink>
    </w:p>
    <w:p w14:paraId="3A757050" w14:textId="0C9306EA" w:rsidR="00D0475A" w:rsidRPr="00EE2A5A" w:rsidRDefault="00D0475A" w:rsidP="00D0475A">
      <w:pPr>
        <w:pStyle w:val="Continuoustext"/>
        <w:rPr>
          <w:lang w:val="fr-FR"/>
        </w:rPr>
      </w:pPr>
    </w:p>
    <w:p w14:paraId="2F2E89B5" w14:textId="48E99C81" w:rsidR="00B36757" w:rsidRPr="00EE2A5A" w:rsidRDefault="00B36757" w:rsidP="00B36757">
      <w:pPr>
        <w:pStyle w:val="Continuoustext"/>
        <w:rPr>
          <w:lang w:val="fr-FR"/>
        </w:rPr>
      </w:pPr>
    </w:p>
    <w:sectPr w:rsidR="00B36757" w:rsidRPr="00EE2A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974E1"/>
    <w:rsid w:val="000A0BA0"/>
    <w:rsid w:val="000A655B"/>
    <w:rsid w:val="000C6772"/>
    <w:rsid w:val="000D5BFC"/>
    <w:rsid w:val="000D7791"/>
    <w:rsid w:val="00105788"/>
    <w:rsid w:val="00123F65"/>
    <w:rsid w:val="00131FFA"/>
    <w:rsid w:val="00141388"/>
    <w:rsid w:val="00146297"/>
    <w:rsid w:val="00166B37"/>
    <w:rsid w:val="001939ED"/>
    <w:rsid w:val="001A21DA"/>
    <w:rsid w:val="001D4004"/>
    <w:rsid w:val="001F14E5"/>
    <w:rsid w:val="001F56BF"/>
    <w:rsid w:val="00203C1C"/>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94CD0"/>
    <w:rsid w:val="003A2D40"/>
    <w:rsid w:val="003A4F8E"/>
    <w:rsid w:val="003B7A47"/>
    <w:rsid w:val="003C2039"/>
    <w:rsid w:val="003C4BD0"/>
    <w:rsid w:val="003D767A"/>
    <w:rsid w:val="003E5CFA"/>
    <w:rsid w:val="003F716F"/>
    <w:rsid w:val="00412E39"/>
    <w:rsid w:val="0042362C"/>
    <w:rsid w:val="00424857"/>
    <w:rsid w:val="00451006"/>
    <w:rsid w:val="0045113D"/>
    <w:rsid w:val="004525C0"/>
    <w:rsid w:val="00467388"/>
    <w:rsid w:val="00470487"/>
    <w:rsid w:val="00484385"/>
    <w:rsid w:val="0049137E"/>
    <w:rsid w:val="00493E4E"/>
    <w:rsid w:val="004A1916"/>
    <w:rsid w:val="004F1D64"/>
    <w:rsid w:val="00505759"/>
    <w:rsid w:val="00523505"/>
    <w:rsid w:val="00536FE2"/>
    <w:rsid w:val="00540045"/>
    <w:rsid w:val="00566B83"/>
    <w:rsid w:val="00580C93"/>
    <w:rsid w:val="0058253E"/>
    <w:rsid w:val="005855F0"/>
    <w:rsid w:val="00586B92"/>
    <w:rsid w:val="005A13EF"/>
    <w:rsid w:val="005B2BAD"/>
    <w:rsid w:val="005B33FB"/>
    <w:rsid w:val="005E3C63"/>
    <w:rsid w:val="005F77CC"/>
    <w:rsid w:val="006241DE"/>
    <w:rsid w:val="00633CAD"/>
    <w:rsid w:val="00641AD8"/>
    <w:rsid w:val="0064599E"/>
    <w:rsid w:val="00657389"/>
    <w:rsid w:val="00673621"/>
    <w:rsid w:val="00692491"/>
    <w:rsid w:val="00696BE5"/>
    <w:rsid w:val="006A698F"/>
    <w:rsid w:val="006C1E26"/>
    <w:rsid w:val="006C6DCE"/>
    <w:rsid w:val="006E004A"/>
    <w:rsid w:val="006F08FC"/>
    <w:rsid w:val="00701D02"/>
    <w:rsid w:val="00710E0D"/>
    <w:rsid w:val="00714D37"/>
    <w:rsid w:val="00726822"/>
    <w:rsid w:val="00732920"/>
    <w:rsid w:val="00736D4B"/>
    <w:rsid w:val="0075467C"/>
    <w:rsid w:val="0076139D"/>
    <w:rsid w:val="00763172"/>
    <w:rsid w:val="00765A75"/>
    <w:rsid w:val="00765F4E"/>
    <w:rsid w:val="0077732D"/>
    <w:rsid w:val="0078718F"/>
    <w:rsid w:val="00793455"/>
    <w:rsid w:val="007A4000"/>
    <w:rsid w:val="007B054A"/>
    <w:rsid w:val="007B2F67"/>
    <w:rsid w:val="007B3A1C"/>
    <w:rsid w:val="007C23F6"/>
    <w:rsid w:val="007C41C1"/>
    <w:rsid w:val="007C62B4"/>
    <w:rsid w:val="007D6943"/>
    <w:rsid w:val="007F69A9"/>
    <w:rsid w:val="00801624"/>
    <w:rsid w:val="00804671"/>
    <w:rsid w:val="00807121"/>
    <w:rsid w:val="00807C5C"/>
    <w:rsid w:val="0084260E"/>
    <w:rsid w:val="00854A27"/>
    <w:rsid w:val="00866A52"/>
    <w:rsid w:val="00867A39"/>
    <w:rsid w:val="0088042D"/>
    <w:rsid w:val="008A5874"/>
    <w:rsid w:val="008C479B"/>
    <w:rsid w:val="008D5680"/>
    <w:rsid w:val="008E4E88"/>
    <w:rsid w:val="008F02ED"/>
    <w:rsid w:val="009045C6"/>
    <w:rsid w:val="00905800"/>
    <w:rsid w:val="0091195F"/>
    <w:rsid w:val="009349EF"/>
    <w:rsid w:val="00936976"/>
    <w:rsid w:val="009373ED"/>
    <w:rsid w:val="00937762"/>
    <w:rsid w:val="00950F1B"/>
    <w:rsid w:val="009548CA"/>
    <w:rsid w:val="009A6630"/>
    <w:rsid w:val="009B3394"/>
    <w:rsid w:val="009C0038"/>
    <w:rsid w:val="009F0D32"/>
    <w:rsid w:val="00A15BC8"/>
    <w:rsid w:val="00A162C6"/>
    <w:rsid w:val="00A27C32"/>
    <w:rsid w:val="00A3041E"/>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A0462"/>
    <w:rsid w:val="00BA056D"/>
    <w:rsid w:val="00BE20F1"/>
    <w:rsid w:val="00BE3A4E"/>
    <w:rsid w:val="00C0501D"/>
    <w:rsid w:val="00C06975"/>
    <w:rsid w:val="00C12A06"/>
    <w:rsid w:val="00C161F0"/>
    <w:rsid w:val="00C17FAD"/>
    <w:rsid w:val="00C25464"/>
    <w:rsid w:val="00C25FCC"/>
    <w:rsid w:val="00C2765B"/>
    <w:rsid w:val="00C35A1E"/>
    <w:rsid w:val="00C43C44"/>
    <w:rsid w:val="00C45A4E"/>
    <w:rsid w:val="00C5287E"/>
    <w:rsid w:val="00C55078"/>
    <w:rsid w:val="00C56C0A"/>
    <w:rsid w:val="00C67E6E"/>
    <w:rsid w:val="00C81BE2"/>
    <w:rsid w:val="00C85550"/>
    <w:rsid w:val="00C85815"/>
    <w:rsid w:val="00C9306D"/>
    <w:rsid w:val="00C937A7"/>
    <w:rsid w:val="00CE3DF1"/>
    <w:rsid w:val="00CF138C"/>
    <w:rsid w:val="00D00796"/>
    <w:rsid w:val="00D0411E"/>
    <w:rsid w:val="00D0475A"/>
    <w:rsid w:val="00D22FE1"/>
    <w:rsid w:val="00D27EB6"/>
    <w:rsid w:val="00D425CB"/>
    <w:rsid w:val="00D51603"/>
    <w:rsid w:val="00D536AD"/>
    <w:rsid w:val="00D54056"/>
    <w:rsid w:val="00D67944"/>
    <w:rsid w:val="00D708BD"/>
    <w:rsid w:val="00D83AE9"/>
    <w:rsid w:val="00DA7114"/>
    <w:rsid w:val="00DB728F"/>
    <w:rsid w:val="00DC7934"/>
    <w:rsid w:val="00E04E00"/>
    <w:rsid w:val="00E233AD"/>
    <w:rsid w:val="00E31507"/>
    <w:rsid w:val="00E32257"/>
    <w:rsid w:val="00E323AF"/>
    <w:rsid w:val="00E35847"/>
    <w:rsid w:val="00E36F51"/>
    <w:rsid w:val="00E436CB"/>
    <w:rsid w:val="00E454F8"/>
    <w:rsid w:val="00E67E2C"/>
    <w:rsid w:val="00E8160B"/>
    <w:rsid w:val="00E82225"/>
    <w:rsid w:val="00E968D6"/>
    <w:rsid w:val="00EA3A63"/>
    <w:rsid w:val="00EC05B5"/>
    <w:rsid w:val="00EC4C24"/>
    <w:rsid w:val="00EE2A5A"/>
    <w:rsid w:val="00F11B29"/>
    <w:rsid w:val="00F164D8"/>
    <w:rsid w:val="00F2433A"/>
    <w:rsid w:val="00F26313"/>
    <w:rsid w:val="00F501FE"/>
    <w:rsid w:val="00F6297C"/>
    <w:rsid w:val="00F75403"/>
    <w:rsid w:val="00F813C7"/>
    <w:rsid w:val="00F91F11"/>
    <w:rsid w:val="00F93604"/>
    <w:rsid w:val="00F944A0"/>
    <w:rsid w:val="00FB0FB9"/>
    <w:rsid w:val="00FB2F70"/>
    <w:rsid w:val="00FC70AD"/>
    <w:rsid w:val="00FE41E1"/>
    <w:rsid w:val="00FE6755"/>
    <w:rsid w:val="00FE7261"/>
    <w:rsid w:val="00FF192D"/>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customStyle="1" w:styleId="ui-provider">
    <w:name w:val="ui-provider"/>
    <w:basedOn w:val="Absatz-Standardschriftart"/>
    <w:rsid w:val="00F93604"/>
  </w:style>
  <w:style w:type="paragraph" w:styleId="StandardWeb">
    <w:name w:val="Normal (Web)"/>
    <w:basedOn w:val="Standard"/>
    <w:uiPriority w:val="99"/>
    <w:semiHidden/>
    <w:unhideWhenUsed/>
    <w:rsid w:val="007A4000"/>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styleId="Kommentarzeichen">
    <w:name w:val="annotation reference"/>
    <w:basedOn w:val="Absatz-Standardschriftart"/>
    <w:uiPriority w:val="99"/>
    <w:semiHidden/>
    <w:rsid w:val="001D4004"/>
    <w:rPr>
      <w:sz w:val="16"/>
      <w:szCs w:val="16"/>
    </w:rPr>
  </w:style>
  <w:style w:type="paragraph" w:styleId="Kommentartext">
    <w:name w:val="annotation text"/>
    <w:basedOn w:val="Standard"/>
    <w:link w:val="KommentartextZchn"/>
    <w:uiPriority w:val="99"/>
    <w:semiHidden/>
    <w:rsid w:val="001D40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4004"/>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1D4004"/>
    <w:rPr>
      <w:b/>
      <w:bCs/>
    </w:rPr>
  </w:style>
  <w:style w:type="character" w:customStyle="1" w:styleId="KommentarthemaZchn">
    <w:name w:val="Kommentarthema Zchn"/>
    <w:basedOn w:val="KommentartextZchn"/>
    <w:link w:val="Kommentarthema"/>
    <w:uiPriority w:val="99"/>
    <w:semiHidden/>
    <w:rsid w:val="001D4004"/>
    <w:rPr>
      <w:rFonts w:cs="Calibri"/>
      <w:b/>
      <w:bCs/>
      <w:color w:val="000000" w:themeColor="text1"/>
      <w:sz w:val="20"/>
      <w:szCs w:val="20"/>
      <w:lang w:val="en-GB" w:eastAsia="de-DE"/>
    </w:rPr>
  </w:style>
  <w:style w:type="paragraph" w:styleId="berarbeitung">
    <w:name w:val="Revision"/>
    <w:hidden/>
    <w:uiPriority w:val="99"/>
    <w:semiHidden/>
    <w:rsid w:val="00A162C6"/>
    <w:pPr>
      <w:spacing w:after="0" w:line="240" w:lineRule="auto"/>
    </w:pPr>
    <w:rPr>
      <w:rFonts w:cs="Calibri"/>
      <w:color w:val="000000" w:themeColor="text1"/>
      <w:lang w:val="en-GB" w:eastAsia="de-DE"/>
    </w:rPr>
  </w:style>
  <w:style w:type="paragraph" w:customStyle="1" w:styleId="pf0">
    <w:name w:val="pf0"/>
    <w:basedOn w:val="Standard"/>
    <w:rsid w:val="00A162C6"/>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A162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5475">
      <w:bodyDiv w:val="1"/>
      <w:marLeft w:val="0"/>
      <w:marRight w:val="0"/>
      <w:marTop w:val="0"/>
      <w:marBottom w:val="0"/>
      <w:divBdr>
        <w:top w:val="none" w:sz="0" w:space="0" w:color="auto"/>
        <w:left w:val="none" w:sz="0" w:space="0" w:color="auto"/>
        <w:bottom w:val="none" w:sz="0" w:space="0" w:color="auto"/>
        <w:right w:val="none" w:sz="0" w:space="0" w:color="auto"/>
      </w:divBdr>
    </w:div>
    <w:div w:id="676881360">
      <w:bodyDiv w:val="1"/>
      <w:marLeft w:val="0"/>
      <w:marRight w:val="0"/>
      <w:marTop w:val="0"/>
      <w:marBottom w:val="0"/>
      <w:divBdr>
        <w:top w:val="none" w:sz="0" w:space="0" w:color="auto"/>
        <w:left w:val="none" w:sz="0" w:space="0" w:color="auto"/>
        <w:bottom w:val="none" w:sz="0" w:space="0" w:color="auto"/>
        <w:right w:val="none" w:sz="0" w:space="0" w:color="auto"/>
      </w:divBdr>
      <w:divsChild>
        <w:div w:id="1732194028">
          <w:marLeft w:val="0"/>
          <w:marRight w:val="0"/>
          <w:marTop w:val="0"/>
          <w:marBottom w:val="0"/>
          <w:divBdr>
            <w:top w:val="none" w:sz="0" w:space="0" w:color="auto"/>
            <w:left w:val="none" w:sz="0" w:space="0" w:color="auto"/>
            <w:bottom w:val="none" w:sz="0" w:space="0" w:color="auto"/>
            <w:right w:val="none" w:sz="0" w:space="0" w:color="auto"/>
          </w:divBdr>
          <w:divsChild>
            <w:div w:id="901527275">
              <w:marLeft w:val="0"/>
              <w:marRight w:val="0"/>
              <w:marTop w:val="0"/>
              <w:marBottom w:val="0"/>
              <w:divBdr>
                <w:top w:val="none" w:sz="0" w:space="0" w:color="auto"/>
                <w:left w:val="none" w:sz="0" w:space="0" w:color="auto"/>
                <w:bottom w:val="none" w:sz="0" w:space="0" w:color="auto"/>
                <w:right w:val="none" w:sz="0" w:space="0" w:color="auto"/>
              </w:divBdr>
              <w:divsChild>
                <w:div w:id="1510289646">
                  <w:marLeft w:val="0"/>
                  <w:marRight w:val="0"/>
                  <w:marTop w:val="0"/>
                  <w:marBottom w:val="0"/>
                  <w:divBdr>
                    <w:top w:val="none" w:sz="0" w:space="0" w:color="auto"/>
                    <w:left w:val="none" w:sz="0" w:space="0" w:color="auto"/>
                    <w:bottom w:val="none" w:sz="0" w:space="0" w:color="auto"/>
                    <w:right w:val="none" w:sz="0" w:space="0" w:color="auto"/>
                  </w:divBdr>
                  <w:divsChild>
                    <w:div w:id="218712572">
                      <w:marLeft w:val="0"/>
                      <w:marRight w:val="0"/>
                      <w:marTop w:val="0"/>
                      <w:marBottom w:val="0"/>
                      <w:divBdr>
                        <w:top w:val="none" w:sz="0" w:space="0" w:color="auto"/>
                        <w:left w:val="none" w:sz="0" w:space="0" w:color="auto"/>
                        <w:bottom w:val="none" w:sz="0" w:space="0" w:color="auto"/>
                        <w:right w:val="none" w:sz="0" w:space="0" w:color="auto"/>
                      </w:divBdr>
                      <w:divsChild>
                        <w:div w:id="1032993866">
                          <w:marLeft w:val="0"/>
                          <w:marRight w:val="0"/>
                          <w:marTop w:val="0"/>
                          <w:marBottom w:val="0"/>
                          <w:divBdr>
                            <w:top w:val="none" w:sz="0" w:space="0" w:color="auto"/>
                            <w:left w:val="none" w:sz="0" w:space="0" w:color="auto"/>
                            <w:bottom w:val="none" w:sz="0" w:space="0" w:color="auto"/>
                            <w:right w:val="none" w:sz="0" w:space="0" w:color="auto"/>
                          </w:divBdr>
                          <w:divsChild>
                            <w:div w:id="3370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011295">
      <w:bodyDiv w:val="1"/>
      <w:marLeft w:val="0"/>
      <w:marRight w:val="0"/>
      <w:marTop w:val="0"/>
      <w:marBottom w:val="0"/>
      <w:divBdr>
        <w:top w:val="none" w:sz="0" w:space="0" w:color="auto"/>
        <w:left w:val="none" w:sz="0" w:space="0" w:color="auto"/>
        <w:bottom w:val="none" w:sz="0" w:space="0" w:color="auto"/>
        <w:right w:val="none" w:sz="0" w:space="0" w:color="auto"/>
      </w:divBdr>
    </w:div>
    <w:div w:id="1330788115">
      <w:bodyDiv w:val="1"/>
      <w:marLeft w:val="0"/>
      <w:marRight w:val="0"/>
      <w:marTop w:val="0"/>
      <w:marBottom w:val="0"/>
      <w:divBdr>
        <w:top w:val="none" w:sz="0" w:space="0" w:color="auto"/>
        <w:left w:val="none" w:sz="0" w:space="0" w:color="auto"/>
        <w:bottom w:val="none" w:sz="0" w:space="0" w:color="auto"/>
        <w:right w:val="none" w:sz="0" w:space="0" w:color="auto"/>
      </w:divBdr>
    </w:div>
    <w:div w:id="1343388611">
      <w:bodyDiv w:val="1"/>
      <w:marLeft w:val="0"/>
      <w:marRight w:val="0"/>
      <w:marTop w:val="0"/>
      <w:marBottom w:val="0"/>
      <w:divBdr>
        <w:top w:val="none" w:sz="0" w:space="0" w:color="auto"/>
        <w:left w:val="none" w:sz="0" w:space="0" w:color="auto"/>
        <w:bottom w:val="none" w:sz="0" w:space="0" w:color="auto"/>
        <w:right w:val="none" w:sz="0" w:space="0" w:color="auto"/>
      </w:divBdr>
    </w:div>
    <w:div w:id="148165561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de.html"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cim.de/" TargetMode="External"/><Relationship Id="rId12" Type="http://schemas.openxmlformats.org/officeDocument/2006/relationships/hyperlink" Target="https://www.linkedin.com/showcase/pcim-euro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facebook.com/pcimeurope/" TargetMode="External"/><Relationship Id="rId5" Type="http://schemas.openxmlformats.org/officeDocument/2006/relationships/image" Target="media/image1.wmf"/><Relationship Id="rId15" Type="http://schemas.openxmlformats.org/officeDocument/2006/relationships/hyperlink" Target="https://www.messefrankfurt.com/frankfurt/de/presse/boilerplate.html" TargetMode="External"/><Relationship Id="rId10" Type="http://schemas.openxmlformats.org/officeDocument/2006/relationships/hyperlink" Target="https://twitter.com/pcimeurope" TargetMode="External"/><Relationship Id="rId4" Type="http://schemas.openxmlformats.org/officeDocument/2006/relationships/webSettings" Target="webSettings.xml"/><Relationship Id="rId9" Type="http://schemas.openxmlformats.org/officeDocument/2006/relationships/hyperlink" Target="https://pcim.mesago.com/nuernberg/de/press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6941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Zimmermann, Leon</cp:lastModifiedBy>
  <cp:revision>6</cp:revision>
  <cp:lastPrinted>2023-09-12T11:06:00Z</cp:lastPrinted>
  <dcterms:created xsi:type="dcterms:W3CDTF">2024-06-11T11:56:00Z</dcterms:created>
  <dcterms:modified xsi:type="dcterms:W3CDTF">2024-06-14T08:42:00Z</dcterms:modified>
</cp:coreProperties>
</file>