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37D6A" w14:paraId="3FCA4723" w14:textId="77777777" w:rsidTr="009A6630">
        <w:trPr>
          <w:trHeight w:val="425"/>
        </w:trPr>
        <w:tc>
          <w:tcPr>
            <w:tcW w:w="5000" w:type="pct"/>
          </w:tcPr>
          <w:p w14:paraId="73B69DA2" w14:textId="698E3493" w:rsidR="003902B2" w:rsidRPr="00E37D6A" w:rsidRDefault="003902B2" w:rsidP="003902B2">
            <w:pPr>
              <w:pStyle w:val="Continuoustext"/>
            </w:pPr>
            <w:r w:rsidRPr="00E37D6A">
              <w:rPr>
                <w:lang w:val="en-US"/>
              </w:rPr>
              <w:t>news +++ EMV</w:t>
            </w:r>
            <w:r w:rsidRPr="00E37D6A">
              <w:rPr>
                <w:lang w:val="en-US"/>
              </w:rPr>
              <w:br/>
              <w:t>Stuttgart, 25–27 March 2025</w:t>
            </w:r>
            <w:r w:rsidRPr="00E37D6A">
              <w:rPr>
                <w:lang w:val="en-US"/>
              </w:rPr>
              <w:br/>
            </w:r>
          </w:p>
        </w:tc>
      </w:tr>
      <w:tr w:rsidR="00D51603" w:rsidRPr="00E37D6A" w14:paraId="067E84E2" w14:textId="77777777" w:rsidTr="009A6630">
        <w:trPr>
          <w:trHeight w:val="425"/>
        </w:trPr>
        <w:tc>
          <w:tcPr>
            <w:tcW w:w="5000" w:type="pct"/>
          </w:tcPr>
          <w:p w14:paraId="4E17EA26" w14:textId="5BAAF4BF" w:rsidR="00D51603" w:rsidRPr="00E37D6A" w:rsidRDefault="001939ED" w:rsidP="000A655B">
            <w:pPr>
              <w:pStyle w:val="Productbrand"/>
              <w:rPr>
                <w:rFonts w:ascii="Arial" w:hAnsi="Arial"/>
              </w:rPr>
            </w:pPr>
            <w:bookmarkStart w:id="0" w:name="_Hlk43896002"/>
            <w:r w:rsidRPr="00E37D6A">
              <w:rPr>
                <w:rFonts w:ascii="Arial" w:hAnsi="Arial"/>
                <w:noProof/>
                <w:lang w:val="en-US"/>
              </w:rPr>
              <w:drawing>
                <wp:inline distT="0" distB="0" distL="0" distR="0" wp14:anchorId="487C2B63" wp14:editId="07386340">
                  <wp:extent cx="751609"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755369" cy="268034"/>
                          </a:xfrm>
                          <a:prstGeom prst="rect">
                            <a:avLst/>
                          </a:prstGeom>
                        </pic:spPr>
                      </pic:pic>
                    </a:graphicData>
                  </a:graphic>
                </wp:inline>
              </w:drawing>
            </w:r>
          </w:p>
        </w:tc>
      </w:tr>
    </w:tbl>
    <w:p w14:paraId="32B4A5BC" w14:textId="34D46DBC" w:rsidR="002F431F" w:rsidRPr="00E37D6A" w:rsidRDefault="002F431F" w:rsidP="002F431F">
      <w:pPr>
        <w:pStyle w:val="berschrift2"/>
        <w:rPr>
          <w:rFonts w:ascii="Arial" w:hAnsi="Arial"/>
        </w:rPr>
      </w:pPr>
      <w:bookmarkStart w:id="1" w:name="kthema4"/>
      <w:bookmarkEnd w:id="1"/>
      <w:bookmarkEnd w:id="0"/>
      <w:r w:rsidRPr="00E37D6A">
        <w:rPr>
          <w:rFonts w:ascii="Arial" w:hAnsi="Arial"/>
          <w:lang w:val="en-US"/>
        </w:rPr>
        <w:t xml:space="preserve">EMV 2025: Industry Players and Users Engage in Dialog, Look to the Future of Electromagnetic Compatibility at Successful </w:t>
      </w:r>
      <w:r w:rsidR="009E5AB0">
        <w:rPr>
          <w:rFonts w:ascii="Arial" w:hAnsi="Arial"/>
          <w:lang w:val="en-US"/>
        </w:rPr>
        <w:t>Expo</w:t>
      </w:r>
    </w:p>
    <w:p w14:paraId="5746FDBB" w14:textId="332E01C8" w:rsidR="002F431F" w:rsidRPr="00E37D6A" w:rsidRDefault="002F431F" w:rsidP="002F431F">
      <w:pPr>
        <w:pStyle w:val="Readup"/>
        <w:rPr>
          <w:sz w:val="16"/>
        </w:rPr>
      </w:pPr>
      <w:r w:rsidRPr="00E37D6A">
        <w:rPr>
          <w:lang w:val="en-US"/>
        </w:rPr>
        <w:t xml:space="preserve">Stuttgart, 27 March 2025. </w:t>
      </w:r>
      <w:r w:rsidR="008F2A59" w:rsidRPr="00E37D6A">
        <w:rPr>
          <w:szCs w:val="22"/>
          <w:lang w:val="en-US"/>
        </w:rPr>
        <w:t>From 25 to 27 March</w:t>
      </w:r>
      <w:r w:rsidR="008F2A59">
        <w:rPr>
          <w:lang w:val="en-US"/>
        </w:rPr>
        <w:t xml:space="preserve">, the </w:t>
      </w:r>
      <w:r w:rsidRPr="00E37D6A">
        <w:rPr>
          <w:lang w:val="en-US"/>
        </w:rPr>
        <w:t xml:space="preserve">EMV has once again charted a path for the future of electromagnetic compatibility in Stuttgart, Germany. Experts and professionals from around the world came together to share their ideas on the latest trends and challenges in the field. Besides offering exhibitors a platform for presentations and networking, the event featured practically oriented workshops for EMC specialists of </w:t>
      </w:r>
      <w:r w:rsidR="00D34C3B" w:rsidRPr="00E37D6A">
        <w:rPr>
          <w:lang w:val="en-US"/>
        </w:rPr>
        <w:t>all</w:t>
      </w:r>
      <w:r w:rsidRPr="00E37D6A">
        <w:rPr>
          <w:lang w:val="en-US"/>
        </w:rPr>
        <w:t xml:space="preserve"> stripe</w:t>
      </w:r>
      <w:r w:rsidR="00D34C3B" w:rsidRPr="00E37D6A">
        <w:rPr>
          <w:lang w:val="en-US"/>
        </w:rPr>
        <w:t>s</w:t>
      </w:r>
      <w:r w:rsidRPr="00E37D6A">
        <w:rPr>
          <w:lang w:val="en-US"/>
        </w:rPr>
        <w:t xml:space="preserve"> and exciting discussions of forward-thinking subjects. Whether it’s integrating electromagnetic compatibility into new technologies or the growing importance of cybersecurity in our interconnected world, </w:t>
      </w:r>
      <w:r w:rsidR="009E5AB0">
        <w:rPr>
          <w:lang w:val="en-US"/>
        </w:rPr>
        <w:t xml:space="preserve">the </w:t>
      </w:r>
      <w:r w:rsidRPr="00E37D6A">
        <w:rPr>
          <w:lang w:val="en-US"/>
        </w:rPr>
        <w:t xml:space="preserve">EMV </w:t>
      </w:r>
      <w:r w:rsidR="009E5AB0">
        <w:rPr>
          <w:lang w:val="en-US"/>
        </w:rPr>
        <w:t xml:space="preserve">Expo </w:t>
      </w:r>
      <w:r w:rsidRPr="00E37D6A">
        <w:rPr>
          <w:lang w:val="en-US"/>
        </w:rPr>
        <w:t>always focuses on topics that are moving the current industry.</w:t>
      </w:r>
    </w:p>
    <w:p w14:paraId="4900316D" w14:textId="3D712844" w:rsidR="0066008A" w:rsidRPr="0066008A" w:rsidRDefault="0066008A" w:rsidP="00585142">
      <w:pPr>
        <w:pStyle w:val="Continuoustext"/>
        <w:rPr>
          <w:color w:val="FF0000"/>
          <w:lang w:val="en-US"/>
        </w:rPr>
      </w:pPr>
      <w:r w:rsidRPr="009E5AB0">
        <w:rPr>
          <w:lang w:val="en-US"/>
        </w:rPr>
        <w:t xml:space="preserve">This year, the event attracted a wide professional audience and around 2,500 trade visitors, featuring a diverse range of exhibitors from 22 countries who engaged intensively with the latest developments in electromagnetic compatibility. Notably, there was an increase in exhibition space as well as a growing number of international participants. Discussions primarily focused on the amendment of the </w:t>
      </w:r>
      <w:r w:rsidR="009E5AB0" w:rsidRPr="009E5AB0">
        <w:rPr>
          <w:lang w:val="en-US"/>
        </w:rPr>
        <w:t>r</w:t>
      </w:r>
      <w:r w:rsidRPr="009E5AB0">
        <w:rPr>
          <w:lang w:val="en-US"/>
        </w:rPr>
        <w:t xml:space="preserve">adio </w:t>
      </w:r>
      <w:r w:rsidR="009E5AB0" w:rsidRPr="009E5AB0">
        <w:rPr>
          <w:lang w:val="en-US"/>
        </w:rPr>
        <w:t>e</w:t>
      </w:r>
      <w:r w:rsidRPr="009E5AB0">
        <w:rPr>
          <w:lang w:val="en-US"/>
        </w:rPr>
        <w:t xml:space="preserve">quipment </w:t>
      </w:r>
      <w:r w:rsidR="009E5AB0" w:rsidRPr="009E5AB0">
        <w:rPr>
          <w:lang w:val="en-US"/>
        </w:rPr>
        <w:t>d</w:t>
      </w:r>
      <w:r w:rsidRPr="009E5AB0">
        <w:rPr>
          <w:lang w:val="en-US"/>
        </w:rPr>
        <w:t>irective</w:t>
      </w:r>
      <w:r w:rsidR="009E5AB0" w:rsidRPr="009E5AB0">
        <w:rPr>
          <w:lang w:val="en-US"/>
        </w:rPr>
        <w:t>s</w:t>
      </w:r>
      <w:r w:rsidRPr="009E5AB0">
        <w:rPr>
          <w:lang w:val="en-US"/>
        </w:rPr>
        <w:t>, the trend towards higher frequencies, and the associated changes in standards, reflecting the industry's future challenges and opportunities.</w:t>
      </w:r>
    </w:p>
    <w:p w14:paraId="2CAB5CB9" w14:textId="5C273AC2" w:rsidR="00585142" w:rsidRPr="0066008A" w:rsidRDefault="008F2A59" w:rsidP="00585142">
      <w:pPr>
        <w:rPr>
          <w:color w:val="FF0000"/>
          <w:lang w:val="en-US"/>
        </w:rPr>
      </w:pPr>
      <w:r w:rsidRPr="00214096">
        <w:rPr>
          <w:lang w:val="en-US"/>
        </w:rPr>
        <w:t>“Rohde &amp; Schwarz has been presenting at the EMV exhibition for over 25 years because this event combining science and industry gives us so many opportunities in one place: We can not only exhibit all our range of test solutions, but also present to the scientific community at the workshops, engage with our customers, connect with suppliers, and showcase products to the press. At this year’s event, Rohde &amp; Schwarz unveiled new EMI test receivers and antenna solutions for emission testing. The EMV exhibition is always a great platform for us to get relevant feedback from industry experts for the future. We’re always delighted to be here!”</w:t>
      </w:r>
      <w:r w:rsidR="009E5AB0">
        <w:rPr>
          <w:lang w:val="en-US"/>
        </w:rPr>
        <w:t xml:space="preserve">, </w:t>
      </w:r>
      <w:r w:rsidR="0066008A" w:rsidRPr="009E5AB0">
        <w:t>states A</w:t>
      </w:r>
      <w:proofErr w:type="spellStart"/>
      <w:r w:rsidR="0066008A" w:rsidRPr="009E5AB0">
        <w:t>rthi</w:t>
      </w:r>
      <w:proofErr w:type="spellEnd"/>
      <w:r w:rsidR="0066008A" w:rsidRPr="009E5AB0">
        <w:t xml:space="preserve"> </w:t>
      </w:r>
      <w:proofErr w:type="spellStart"/>
      <w:r w:rsidR="0066008A" w:rsidRPr="009E5AB0">
        <w:t>Krishnamurty</w:t>
      </w:r>
      <w:proofErr w:type="spellEnd"/>
      <w:r w:rsidR="0066008A" w:rsidRPr="009E5AB0">
        <w:t>, Market Segment Manager at Rohde &amp; Schwarz International GmbH.</w:t>
      </w:r>
    </w:p>
    <w:p w14:paraId="7BF57A24" w14:textId="4510F84D" w:rsidR="008F2A59" w:rsidRPr="00214096" w:rsidRDefault="008F2A59" w:rsidP="00214096">
      <w:pPr>
        <w:pStyle w:val="Continuoustext"/>
        <w:rPr>
          <w:lang w:val="en-US"/>
        </w:rPr>
      </w:pPr>
    </w:p>
    <w:p w14:paraId="417BEC5A" w14:textId="77777777" w:rsidR="008F2A59" w:rsidRPr="00214096" w:rsidRDefault="008F2A59" w:rsidP="002F431F">
      <w:pPr>
        <w:pStyle w:val="Continuoustext"/>
        <w:rPr>
          <w:lang w:val="en-US"/>
        </w:rPr>
      </w:pPr>
    </w:p>
    <w:p w14:paraId="3F49564F" w14:textId="77777777" w:rsidR="002F431F" w:rsidRPr="00E37D6A" w:rsidRDefault="002F431F" w:rsidP="002F431F">
      <w:pPr>
        <w:rPr>
          <w:rFonts w:ascii="Arial" w:hAnsi="Arial"/>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2F431F" w:rsidRPr="00E37D6A" w14:paraId="1DE42371" w14:textId="77777777" w:rsidTr="00AE0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7B80F92D" w14:textId="77777777" w:rsidR="002F431F" w:rsidRPr="00E37D6A" w:rsidRDefault="002F431F" w:rsidP="00AE0138">
            <w:pPr>
              <w:ind w:left="0"/>
              <w:rPr>
                <w:rFonts w:ascii="Arial" w:hAnsi="Arial"/>
              </w:rPr>
            </w:pPr>
            <w:r w:rsidRPr="00E37D6A">
              <w:rPr>
                <w:rFonts w:ascii="Arial" w:hAnsi="Arial"/>
                <w:noProof/>
                <w:lang w:val="en-US"/>
              </w:rPr>
              <w:lastRenderedPageBreak/>
              <w:drawing>
                <wp:inline distT="0" distB="0" distL="0" distR="0" wp14:anchorId="7E03BE9F" wp14:editId="7D8D3A00">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2F431F" w:rsidRPr="00E37D6A" w14:paraId="62203116" w14:textId="77777777" w:rsidTr="00AE0138">
        <w:tc>
          <w:tcPr>
            <w:tcW w:w="5953" w:type="dxa"/>
          </w:tcPr>
          <w:p w14:paraId="543075B3" w14:textId="2ADA5355" w:rsidR="002F431F" w:rsidRPr="00E37D6A" w:rsidRDefault="00214096" w:rsidP="00AE0138">
            <w:pPr>
              <w:pStyle w:val="Imagecaption"/>
            </w:pPr>
            <w:r>
              <w:rPr>
                <w:lang w:val="de-DE"/>
              </w:rPr>
              <w:t>Source</w:t>
            </w:r>
            <w:r w:rsidRPr="003C7890">
              <w:rPr>
                <w:lang w:val="de-DE"/>
              </w:rPr>
              <w:t xml:space="preserve">: </w:t>
            </w:r>
            <w:r w:rsidRPr="00390635">
              <w:rPr>
                <w:lang w:val="de-DE"/>
              </w:rPr>
              <w:t>Mesago Messe Frankfurt GmbH / M</w:t>
            </w:r>
            <w:r>
              <w:rPr>
                <w:lang w:val="de-DE"/>
              </w:rPr>
              <w:t xml:space="preserve">athias </w:t>
            </w:r>
            <w:proofErr w:type="spellStart"/>
            <w:r>
              <w:rPr>
                <w:lang w:val="de-DE"/>
              </w:rPr>
              <w:t>Kutt</w:t>
            </w:r>
            <w:proofErr w:type="spellEnd"/>
          </w:p>
        </w:tc>
      </w:tr>
    </w:tbl>
    <w:p w14:paraId="080809C3" w14:textId="77777777" w:rsidR="002F431F" w:rsidRPr="00E37D6A" w:rsidRDefault="002F431F" w:rsidP="002F431F">
      <w:pPr>
        <w:pStyle w:val="berschrift3"/>
        <w:jc w:val="both"/>
        <w:rPr>
          <w:rFonts w:ascii="Arial" w:hAnsi="Arial"/>
        </w:rPr>
      </w:pPr>
      <w:r w:rsidRPr="00E37D6A">
        <w:rPr>
          <w:rFonts w:ascii="Arial" w:hAnsi="Arial"/>
          <w:bCs/>
          <w:lang w:val="en-US"/>
        </w:rPr>
        <w:t>High-ranking representative from EU Commission offers tips on implementing new cybersecurity regulations</w:t>
      </w:r>
    </w:p>
    <w:p w14:paraId="376B3F7A" w14:textId="4C0DD7A9" w:rsidR="002F431F" w:rsidRDefault="002F431F" w:rsidP="0066008A">
      <w:pPr>
        <w:pStyle w:val="Kommentartext"/>
        <w:rPr>
          <w:lang w:val="en-US"/>
        </w:rPr>
      </w:pPr>
      <w:r w:rsidRPr="00585142">
        <w:rPr>
          <w:rFonts w:asciiTheme="majorHAnsi" w:hAnsiTheme="majorHAnsi" w:cstheme="majorHAnsi"/>
          <w:sz w:val="22"/>
          <w:szCs w:val="22"/>
          <w:lang w:val="en-US"/>
        </w:rPr>
        <w:t xml:space="preserve">The keynote given by Luis Miguel Vega </w:t>
      </w:r>
      <w:proofErr w:type="spellStart"/>
      <w:r w:rsidRPr="00585142">
        <w:rPr>
          <w:rFonts w:asciiTheme="majorHAnsi" w:hAnsiTheme="majorHAnsi" w:cstheme="majorHAnsi"/>
          <w:sz w:val="22"/>
          <w:szCs w:val="22"/>
          <w:lang w:val="en-US"/>
        </w:rPr>
        <w:t>Fidalgo</w:t>
      </w:r>
      <w:proofErr w:type="spellEnd"/>
      <w:r w:rsidRPr="00585142">
        <w:rPr>
          <w:rFonts w:asciiTheme="majorHAnsi" w:hAnsiTheme="majorHAnsi" w:cstheme="majorHAnsi"/>
          <w:sz w:val="22"/>
          <w:szCs w:val="22"/>
          <w:lang w:val="en-US"/>
        </w:rPr>
        <w:t xml:space="preserve"> (EU Commission, DG GROW) dealt with the topic of cybersecurity and the EU’s </w:t>
      </w:r>
      <w:proofErr w:type="gramStart"/>
      <w:r w:rsidRPr="00585142">
        <w:rPr>
          <w:rFonts w:asciiTheme="majorHAnsi" w:hAnsiTheme="majorHAnsi" w:cstheme="majorHAnsi"/>
          <w:sz w:val="22"/>
          <w:szCs w:val="22"/>
          <w:lang w:val="en-US"/>
        </w:rPr>
        <w:t>aforementioned specifications</w:t>
      </w:r>
      <w:proofErr w:type="gramEnd"/>
      <w:r w:rsidRPr="00585142">
        <w:rPr>
          <w:rFonts w:asciiTheme="majorHAnsi" w:hAnsiTheme="majorHAnsi" w:cstheme="majorHAnsi"/>
          <w:sz w:val="22"/>
          <w:szCs w:val="22"/>
          <w:lang w:val="en-US"/>
        </w:rPr>
        <w:t xml:space="preserve"> for interconnected devices</w:t>
      </w:r>
      <w:r w:rsidRPr="009E5AB0">
        <w:rPr>
          <w:rFonts w:asciiTheme="majorHAnsi" w:hAnsiTheme="majorHAnsi" w:cstheme="majorHAnsi"/>
          <w:sz w:val="22"/>
          <w:szCs w:val="22"/>
          <w:lang w:val="en-US"/>
        </w:rPr>
        <w:t xml:space="preserve">. </w:t>
      </w:r>
      <w:r w:rsidR="0066008A" w:rsidRPr="009E5AB0">
        <w:t>This caught the attention of the audience at the trade fair forum once again, particularly regarding the regulations coming into effect for smart products on August 1.</w:t>
      </w:r>
      <w:r w:rsidR="009E5AB0">
        <w:t xml:space="preserve"> </w:t>
      </w:r>
      <w:r w:rsidR="008F2A59" w:rsidRPr="00585142">
        <w:rPr>
          <w:rFonts w:asciiTheme="majorHAnsi" w:hAnsiTheme="majorHAnsi" w:cstheme="majorHAnsi"/>
          <w:szCs w:val="22"/>
          <w:lang w:val="en-US"/>
        </w:rPr>
        <w:t>Vega</w:t>
      </w:r>
      <w:r w:rsidRPr="00585142">
        <w:rPr>
          <w:rFonts w:asciiTheme="majorHAnsi" w:hAnsiTheme="majorHAnsi" w:cstheme="majorHAnsi"/>
          <w:szCs w:val="22"/>
          <w:lang w:val="en-US"/>
        </w:rPr>
        <w:t xml:space="preserve"> explained the importance of the harmonized series of standards EN 18031 as a means of helping manufacturers prove their compliance while pointing out that alternative mechanisms are also permitted</w:t>
      </w:r>
      <w:r w:rsidRPr="00585142">
        <w:rPr>
          <w:szCs w:val="22"/>
          <w:lang w:val="en-US"/>
        </w:rPr>
        <w:t>. In addition, his speech highlighted the related legal requirements and conformity assessment procedures manufacturers</w:t>
      </w:r>
      <w:r w:rsidRPr="00E37D6A">
        <w:rPr>
          <w:lang w:val="en-US"/>
        </w:rPr>
        <w:t xml:space="preserve"> will need to observe in the future.</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090"/>
      </w:tblGrid>
      <w:tr w:rsidR="00214096" w:rsidRPr="00E37D6A" w14:paraId="79304BC5" w14:textId="77777777" w:rsidTr="00214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0" w:type="dxa"/>
            <w:tcBorders>
              <w:top w:val="none" w:sz="0" w:space="0" w:color="auto"/>
              <w:bottom w:val="none" w:sz="0" w:space="0" w:color="auto"/>
            </w:tcBorders>
          </w:tcPr>
          <w:p w14:paraId="252E383D" w14:textId="77777777" w:rsidR="00214096" w:rsidRPr="00E37D6A" w:rsidRDefault="00214096" w:rsidP="00C13E34">
            <w:pPr>
              <w:ind w:left="0"/>
              <w:rPr>
                <w:rFonts w:ascii="Arial" w:hAnsi="Arial"/>
              </w:rPr>
            </w:pPr>
            <w:r w:rsidRPr="00E37D6A">
              <w:rPr>
                <w:rFonts w:ascii="Arial" w:hAnsi="Arial"/>
                <w:noProof/>
                <w:lang w:val="en-US"/>
              </w:rPr>
              <w:drawing>
                <wp:inline distT="0" distB="0" distL="0" distR="0" wp14:anchorId="571F95DB" wp14:editId="7A2BEA84">
                  <wp:extent cx="3391200" cy="22608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p w14:paraId="546DBBD1" w14:textId="522622C8" w:rsidR="00214096" w:rsidRPr="00214096" w:rsidRDefault="00214096" w:rsidP="00214096">
      <w:pPr>
        <w:pStyle w:val="Imagecaption"/>
        <w:rPr>
          <w:lang w:val="en-US"/>
        </w:rPr>
      </w:pPr>
      <w:r w:rsidRPr="00214096">
        <w:rPr>
          <w:lang w:val="en-US"/>
        </w:rPr>
        <w:t xml:space="preserve">   Source: Mesago Messe Frankfurt GmbH / Mathias </w:t>
      </w:r>
      <w:proofErr w:type="spellStart"/>
      <w:r w:rsidRPr="00214096">
        <w:rPr>
          <w:lang w:val="en-US"/>
        </w:rPr>
        <w:t>Kutt</w:t>
      </w:r>
      <w:proofErr w:type="spellEnd"/>
    </w:p>
    <w:p w14:paraId="7C367BDA" w14:textId="1AE53225" w:rsidR="008F2A59" w:rsidRPr="00E37D6A" w:rsidRDefault="00214096" w:rsidP="008F2A59">
      <w:pPr>
        <w:pStyle w:val="Continuoustext"/>
        <w:spacing w:after="0"/>
        <w:rPr>
          <w:rFonts w:eastAsiaTheme="majorEastAsia" w:cstheme="majorBidi"/>
          <w:b/>
          <w:szCs w:val="24"/>
          <w:lang w:val="en-US"/>
        </w:rPr>
      </w:pPr>
      <w:r>
        <w:rPr>
          <w:rFonts w:eastAsiaTheme="majorEastAsia" w:cstheme="majorBidi"/>
          <w:b/>
          <w:bCs/>
          <w:szCs w:val="24"/>
          <w:lang w:val="en-US"/>
        </w:rPr>
        <w:t>S</w:t>
      </w:r>
      <w:r w:rsidR="008F2A59" w:rsidRPr="00E37D6A">
        <w:rPr>
          <w:rFonts w:eastAsiaTheme="majorEastAsia" w:cstheme="majorBidi"/>
          <w:b/>
          <w:bCs/>
          <w:szCs w:val="24"/>
          <w:lang w:val="en-US"/>
        </w:rPr>
        <w:t xml:space="preserve">afety first: cybersecurity and other forward-thinking subjects in the spotlight </w:t>
      </w:r>
    </w:p>
    <w:p w14:paraId="513A55C0" w14:textId="4A175D83" w:rsidR="008F2A59" w:rsidRDefault="008F2A59" w:rsidP="00585142">
      <w:pPr>
        <w:pStyle w:val="Kommentartext"/>
        <w:rPr>
          <w:color w:val="FF0000"/>
          <w:lang w:val="de-DE"/>
        </w:rPr>
      </w:pPr>
      <w:r>
        <w:rPr>
          <w:szCs w:val="22"/>
          <w:lang w:val="en-US"/>
        </w:rPr>
        <w:t xml:space="preserve">The </w:t>
      </w:r>
      <w:r w:rsidRPr="00E37D6A">
        <w:rPr>
          <w:szCs w:val="22"/>
          <w:lang w:val="en-US"/>
        </w:rPr>
        <w:t xml:space="preserve">EMV 2025 centered on cybersecurity in the context of electromagnetic compatibility. </w:t>
      </w:r>
      <w:r w:rsidRPr="00E37D6A">
        <w:rPr>
          <w:lang w:val="en-US"/>
        </w:rPr>
        <w:t xml:space="preserve">Due to the increasing integration of radio devices and wireless interfaces, cybersecurity issues continue to gain significance. </w:t>
      </w:r>
      <w:r w:rsidRPr="00E37D6A">
        <w:rPr>
          <w:szCs w:val="22"/>
          <w:lang w:val="en-US"/>
        </w:rPr>
        <w:t>A series of workshops therefore covered practically oriented solutions and strategies for securing such technologies.</w:t>
      </w:r>
      <w:r w:rsidR="00585142" w:rsidRPr="00585142">
        <w:rPr>
          <w:lang w:val="en-US"/>
        </w:rPr>
        <w:t xml:space="preserve"> </w:t>
      </w:r>
    </w:p>
    <w:p w14:paraId="0A7BFBC4" w14:textId="5BD10E3C" w:rsidR="0066008A" w:rsidRPr="0066008A" w:rsidRDefault="0066008A" w:rsidP="00585142">
      <w:pPr>
        <w:pStyle w:val="Kommentartext"/>
        <w:rPr>
          <w:color w:val="auto"/>
          <w:lang w:val="en-US"/>
        </w:rPr>
      </w:pPr>
      <w:r w:rsidRPr="009E5AB0">
        <w:rPr>
          <w:color w:val="auto"/>
          <w:lang w:val="en-US"/>
        </w:rPr>
        <w:t>At the EMV, the community gained immediate and valuable insights through keynotes, workshops, and networking to promptly take relevant regulations into account.</w:t>
      </w:r>
    </w:p>
    <w:p w14:paraId="6C14BBF7" w14:textId="77777777" w:rsidR="0066008A" w:rsidRPr="0066008A" w:rsidRDefault="0066008A" w:rsidP="00585142">
      <w:pPr>
        <w:pStyle w:val="Kommentartext"/>
        <w:rPr>
          <w:color w:val="FF0000"/>
          <w:lang w:val="en-US"/>
        </w:rPr>
      </w:pPr>
    </w:p>
    <w:p w14:paraId="0DC70036" w14:textId="77777777" w:rsidR="00585142" w:rsidRPr="0066008A" w:rsidRDefault="00585142" w:rsidP="00585142">
      <w:pPr>
        <w:pStyle w:val="Kommentartext"/>
        <w:rPr>
          <w:lang w:val="en-US"/>
        </w:rPr>
      </w:pPr>
    </w:p>
    <w:p w14:paraId="6DD335C6" w14:textId="77777777" w:rsidR="006F6753" w:rsidRDefault="0066008A" w:rsidP="00585142">
      <w:pPr>
        <w:pStyle w:val="Kommentartext"/>
        <w:rPr>
          <w:lang w:val="en-US"/>
        </w:rPr>
      </w:pPr>
      <w:r w:rsidRPr="009E5AB0">
        <w:rPr>
          <w:color w:val="auto"/>
          <w:sz w:val="22"/>
          <w:szCs w:val="22"/>
          <w:lang w:val="en-US"/>
        </w:rPr>
        <w:t>Given the economic challenges, the workshops were</w:t>
      </w:r>
      <w:r w:rsidR="006F6753">
        <w:rPr>
          <w:color w:val="auto"/>
          <w:sz w:val="22"/>
          <w:szCs w:val="22"/>
          <w:lang w:val="en-US"/>
        </w:rPr>
        <w:t xml:space="preserve"> still</w:t>
      </w:r>
      <w:r w:rsidRPr="009E5AB0">
        <w:rPr>
          <w:color w:val="auto"/>
          <w:sz w:val="22"/>
          <w:szCs w:val="22"/>
          <w:lang w:val="en-US"/>
        </w:rPr>
        <w:t xml:space="preserve"> in high demand</w:t>
      </w:r>
      <w:r w:rsidR="006F6753">
        <w:rPr>
          <w:color w:val="auto"/>
          <w:sz w:val="22"/>
          <w:szCs w:val="22"/>
          <w:lang w:val="en-US"/>
        </w:rPr>
        <w:t xml:space="preserve">, </w:t>
      </w:r>
      <w:r w:rsidR="008F2A59" w:rsidRPr="00E37D6A">
        <w:rPr>
          <w:lang w:val="en-US"/>
        </w:rPr>
        <w:t xml:space="preserve">drawing </w:t>
      </w:r>
      <w:r w:rsidR="008F2A59" w:rsidRPr="00214096">
        <w:rPr>
          <w:lang w:val="en-US"/>
        </w:rPr>
        <w:t xml:space="preserve">660 </w:t>
      </w:r>
      <w:r w:rsidR="008F2A59" w:rsidRPr="00E37D6A">
        <w:rPr>
          <w:lang w:val="en-US"/>
        </w:rPr>
        <w:t xml:space="preserve">registrations and underscoring the strong interest in such technical topics at </w:t>
      </w:r>
      <w:r w:rsidR="006F6753">
        <w:rPr>
          <w:lang w:val="en-US"/>
        </w:rPr>
        <w:t xml:space="preserve">the </w:t>
      </w:r>
      <w:r w:rsidR="008F2A59" w:rsidRPr="00E37D6A">
        <w:rPr>
          <w:lang w:val="en-US"/>
        </w:rPr>
        <w:t xml:space="preserve">EMV 2025. </w:t>
      </w:r>
    </w:p>
    <w:p w14:paraId="5DFD81B5" w14:textId="79BD4A2A" w:rsidR="00585142" w:rsidRPr="0066008A" w:rsidRDefault="0066008A" w:rsidP="00585142">
      <w:pPr>
        <w:pStyle w:val="Kommentartext"/>
        <w:rPr>
          <w:lang w:val="en-US"/>
        </w:rPr>
      </w:pPr>
      <w:r w:rsidRPr="006F6753">
        <w:lastRenderedPageBreak/>
        <w:t xml:space="preserve">The hands-on sessions on fundamentals, cybersecurity, and high-frequency topics were particularly in demand, attracting </w:t>
      </w:r>
      <w:proofErr w:type="gramStart"/>
      <w:r w:rsidRPr="006F6753">
        <w:t>a large number of</w:t>
      </w:r>
      <w:proofErr w:type="gramEnd"/>
      <w:r w:rsidRPr="006F6753">
        <w:t xml:space="preserve"> both national and international trade visitors.</w:t>
      </w:r>
    </w:p>
    <w:p w14:paraId="70C2CCC4" w14:textId="6165DB29" w:rsidR="008F2A59" w:rsidRPr="0066008A" w:rsidRDefault="008F2A59" w:rsidP="00585142">
      <w:pPr>
        <w:pStyle w:val="Kommentartext"/>
        <w:rPr>
          <w:color w:val="FF0000"/>
          <w:sz w:val="22"/>
          <w:szCs w:val="22"/>
          <w:lang w:val="en-US"/>
        </w:rPr>
      </w:pPr>
    </w:p>
    <w:p w14:paraId="286F09A8" w14:textId="77777777" w:rsidR="002F431F" w:rsidRPr="00E37D6A" w:rsidRDefault="002F431F" w:rsidP="002F431F">
      <w:pPr>
        <w:pStyle w:val="berschrift3"/>
        <w:rPr>
          <w:rFonts w:ascii="Arial" w:hAnsi="Arial"/>
        </w:rPr>
      </w:pPr>
      <w:r w:rsidRPr="00E37D6A">
        <w:rPr>
          <w:rFonts w:ascii="Arial" w:hAnsi="Arial"/>
          <w:bCs/>
          <w:lang w:val="en-US"/>
        </w:rPr>
        <w:t xml:space="preserve">Trade fair forum stands out with “Ask the Experts” session, other practically oriented subjects </w:t>
      </w:r>
    </w:p>
    <w:p w14:paraId="46D23FCF" w14:textId="77777777" w:rsidR="002F431F" w:rsidRPr="00E37D6A" w:rsidRDefault="002F431F" w:rsidP="002F431F">
      <w:pPr>
        <w:pStyle w:val="Continuoustext"/>
        <w:rPr>
          <w:lang w:val="en-US"/>
        </w:rPr>
      </w:pPr>
      <w:r w:rsidRPr="00E37D6A">
        <w:rPr>
          <w:lang w:val="en-US"/>
        </w:rPr>
        <w:t>The trade fair forum at EMV 2025 offered attendees valuable insights into current developments and future trends through a diverse combination of product presentations, expert talks, and special sessions</w:t>
      </w:r>
      <w:r w:rsidRPr="00E37D6A">
        <w:rPr>
          <w:szCs w:val="22"/>
          <w:lang w:val="en-US"/>
        </w:rPr>
        <w:t xml:space="preserve">. </w:t>
      </w:r>
      <w:r w:rsidRPr="00E37D6A">
        <w:rPr>
          <w:lang w:val="en-US"/>
        </w:rPr>
        <w:t>During the “Ask the Experts” session on electromagnetic compatibility for start-ups, entrepreneurs and those new to the field received practical answers to fundamental questions about standard compliance and product design. The discussion included both regulations and technical challenges that play a decisive role in a product’s success.</w:t>
      </w:r>
    </w:p>
    <w:p w14:paraId="0AE6B082" w14:textId="77777777" w:rsidR="002F431F" w:rsidRPr="00E37D6A" w:rsidRDefault="002F431F" w:rsidP="002F431F">
      <w:pPr>
        <w:pStyle w:val="Continuoustext"/>
        <w:rPr>
          <w:rFonts w:cs="Calibri"/>
          <w:szCs w:val="22"/>
          <w:lang w:val="en-US"/>
        </w:rPr>
      </w:pPr>
      <w:r w:rsidRPr="00E37D6A">
        <w:rPr>
          <w:lang w:val="en-US"/>
        </w:rPr>
        <w:t xml:space="preserve">The forum program was enhanced further by a moderated plenum in which prominent experts in business and science deliberated on opportunities and hurdles pertaining to women in STEM professions. Here, the contributors demonstrated to impressive effect how crucial targeted support for females is to Germany’s innovative strength and competitiveness, particularly </w:t>
      </w:r>
      <w:proofErr w:type="gramStart"/>
      <w:r w:rsidRPr="00E37D6A">
        <w:rPr>
          <w:lang w:val="en-US"/>
        </w:rPr>
        <w:t>with regard to</w:t>
      </w:r>
      <w:proofErr w:type="gramEnd"/>
      <w:r w:rsidRPr="00E37D6A">
        <w:rPr>
          <w:lang w:val="en-US"/>
        </w:rPr>
        <w:t xml:space="preserve"> early childhood education, tailored training programs, and career opportunities.</w:t>
      </w:r>
    </w:p>
    <w:p w14:paraId="4F0E2991" w14:textId="77777777" w:rsidR="002F431F" w:rsidRPr="00E37D6A" w:rsidRDefault="002F431F" w:rsidP="002F431F">
      <w:pPr>
        <w:pStyle w:val="Continuoustext"/>
        <w:rPr>
          <w:lang w:val="en-US"/>
        </w:rPr>
      </w:pPr>
      <w:r w:rsidRPr="00E37D6A">
        <w:rPr>
          <w:lang w:val="en-US"/>
        </w:rPr>
        <w:t>A discussion forum on reverberation chambers rounded out the event and gave the attendees an in-depth look at cutting-edge developments in testing methods for electronic devices and vehicles. Experts shared their views on the future of testing technologies and how the new methods could impact the industry.</w:t>
      </w:r>
    </w:p>
    <w:p w14:paraId="6D5D7E4F" w14:textId="77777777" w:rsidR="002F431F" w:rsidRPr="00E37D6A" w:rsidRDefault="002F431F" w:rsidP="002F431F">
      <w:pPr>
        <w:pStyle w:val="berschrift3"/>
        <w:rPr>
          <w:rFonts w:ascii="Arial" w:hAnsi="Arial"/>
        </w:rPr>
      </w:pPr>
      <w:r w:rsidRPr="00E37D6A">
        <w:rPr>
          <w:rFonts w:ascii="Arial" w:hAnsi="Arial"/>
          <w:bCs/>
          <w:lang w:val="en-US"/>
        </w:rPr>
        <w:t>Making contacts, learning more, making progress: EMV’s future as a “Hub for Electromagnetic Compatibility”</w:t>
      </w:r>
    </w:p>
    <w:p w14:paraId="36C38659" w14:textId="77777777" w:rsidR="002F431F" w:rsidRPr="00E37D6A" w:rsidRDefault="002F431F" w:rsidP="002F431F">
      <w:pPr>
        <w:pStyle w:val="Continuoustext"/>
        <w:rPr>
          <w:lang w:val="en-US"/>
        </w:rPr>
      </w:pPr>
      <w:r w:rsidRPr="00E37D6A">
        <w:rPr>
          <w:lang w:val="en-US"/>
        </w:rPr>
        <w:t xml:space="preserve">The EMV portfolio has continued to evolve and now includes not only the usual event formats (trade fair, convention, workshops, seminars), but forward-thinking services, as well – all on a communication platform that’s available 24/7, 365 days a year. The EMV Hub for Electromagnetic Compatibility is designed to bring together companies, experts, and decision-makers and provide an array of products and services. It’s the place where market leaders identify trends early on, deepen their knowledge and position their brands successfully. </w:t>
      </w:r>
    </w:p>
    <w:p w14:paraId="0605E2AC" w14:textId="466F8922" w:rsidR="002F431F" w:rsidRPr="00E37D6A" w:rsidRDefault="002F431F" w:rsidP="002F431F">
      <w:pPr>
        <w:pStyle w:val="Continuoustext"/>
        <w:rPr>
          <w:lang w:val="en-US"/>
        </w:rPr>
      </w:pPr>
      <w:r w:rsidRPr="00E37D6A">
        <w:rPr>
          <w:lang w:val="en-US"/>
        </w:rPr>
        <w:t>“</w:t>
      </w:r>
      <w:r w:rsidR="006F6753">
        <w:rPr>
          <w:lang w:val="en-US"/>
        </w:rPr>
        <w:t xml:space="preserve">The </w:t>
      </w:r>
      <w:r w:rsidRPr="00E37D6A">
        <w:rPr>
          <w:lang w:val="en-US"/>
        </w:rPr>
        <w:t xml:space="preserve">EMV, our Hub for Electromagnetic Compatibility, offers much more than the annual trade fair, </w:t>
      </w:r>
      <w:proofErr w:type="gramStart"/>
      <w:r w:rsidRPr="00E37D6A">
        <w:rPr>
          <w:lang w:val="en-US"/>
        </w:rPr>
        <w:t>congress</w:t>
      </w:r>
      <w:proofErr w:type="gramEnd"/>
      <w:r w:rsidRPr="00E37D6A">
        <w:rPr>
          <w:lang w:val="en-US"/>
        </w:rPr>
        <w:t xml:space="preserve"> and workshop. It presents a unique opportunity to share our expertise with a global network and actively shape the future of our industry,” says Jeannette Meyer, </w:t>
      </w:r>
      <w:r w:rsidR="006F6753">
        <w:rPr>
          <w:lang w:val="en-US"/>
        </w:rPr>
        <w:t>D</w:t>
      </w:r>
      <w:r w:rsidRPr="00E37D6A">
        <w:rPr>
          <w:lang w:val="en-US"/>
        </w:rPr>
        <w:t xml:space="preserve">eputy </w:t>
      </w:r>
      <w:r w:rsidR="006F6753">
        <w:rPr>
          <w:lang w:val="en-US"/>
        </w:rPr>
        <w:t>V</w:t>
      </w:r>
      <w:r w:rsidRPr="00E37D6A">
        <w:rPr>
          <w:lang w:val="en-US"/>
        </w:rPr>
        <w:t xml:space="preserve">ice </w:t>
      </w:r>
      <w:r w:rsidR="006F6753">
        <w:rPr>
          <w:lang w:val="en-US"/>
        </w:rPr>
        <w:t>P</w:t>
      </w:r>
      <w:r w:rsidRPr="00E37D6A">
        <w:rPr>
          <w:lang w:val="en-US"/>
        </w:rPr>
        <w:t>resident at Mesago</w:t>
      </w:r>
      <w:r w:rsidR="006F6753">
        <w:rPr>
          <w:lang w:val="en-US"/>
        </w:rPr>
        <w:t xml:space="preserve"> Messe Frankfurt</w:t>
      </w:r>
      <w:r w:rsidRPr="00E37D6A">
        <w:rPr>
          <w:lang w:val="en-US"/>
        </w:rPr>
        <w:t xml:space="preserve">. The Hub’s offerings include EMV seminars (which take place in the fall), the </w:t>
      </w:r>
      <w:proofErr w:type="spellStart"/>
      <w:r w:rsidRPr="00E37D6A">
        <w:rPr>
          <w:lang w:val="en-US"/>
        </w:rPr>
        <w:t>EMCareer</w:t>
      </w:r>
      <w:proofErr w:type="spellEnd"/>
      <w:r w:rsidRPr="00E37D6A">
        <w:rPr>
          <w:lang w:val="en-US"/>
        </w:rPr>
        <w:t xml:space="preserve"> platform, and EMV Newsroom, which offers companies and specialists valuable chances to make new contacts, expand their knowledge, and obtain the information they need all year round.</w:t>
      </w:r>
    </w:p>
    <w:p w14:paraId="2AD587E6" w14:textId="77777777" w:rsidR="002F431F" w:rsidRPr="00E37D6A" w:rsidRDefault="002F431F" w:rsidP="002F431F">
      <w:pPr>
        <w:pStyle w:val="berschrift3"/>
        <w:rPr>
          <w:rFonts w:ascii="Arial" w:hAnsi="Arial"/>
        </w:rPr>
      </w:pPr>
      <w:r w:rsidRPr="00E37D6A">
        <w:rPr>
          <w:rFonts w:ascii="Arial" w:hAnsi="Arial"/>
          <w:bCs/>
          <w:lang w:val="en-US"/>
        </w:rPr>
        <w:t>Upcoming events: EMV 2026</w:t>
      </w:r>
    </w:p>
    <w:p w14:paraId="5CCB4ADC" w14:textId="4780E355" w:rsidR="002F431F" w:rsidRPr="00E37D6A" w:rsidRDefault="002F431F" w:rsidP="002F431F">
      <w:pPr>
        <w:pStyle w:val="Continuoustext"/>
        <w:rPr>
          <w:lang w:val="en-US"/>
        </w:rPr>
      </w:pPr>
      <w:r w:rsidRPr="00E37D6A">
        <w:rPr>
          <w:lang w:val="en-US"/>
        </w:rPr>
        <w:t xml:space="preserve">As a supplement to the trade fair, practically oriented EMV seminars will be held in the fall in </w:t>
      </w:r>
      <w:proofErr w:type="spellStart"/>
      <w:r w:rsidRPr="00E37D6A">
        <w:rPr>
          <w:lang w:val="en-US"/>
        </w:rPr>
        <w:t>Leinfelden-Echterdingen</w:t>
      </w:r>
      <w:proofErr w:type="spellEnd"/>
      <w:r w:rsidRPr="00E37D6A">
        <w:rPr>
          <w:lang w:val="en-US"/>
        </w:rPr>
        <w:t xml:space="preserve"> (just south of Stuttgart). On 7–9 October 2025, </w:t>
      </w:r>
      <w:r w:rsidR="006F6753">
        <w:rPr>
          <w:lang w:val="en-US"/>
        </w:rPr>
        <w:t>those</w:t>
      </w:r>
      <w:r w:rsidRPr="00E37D6A">
        <w:rPr>
          <w:lang w:val="en-US"/>
        </w:rPr>
        <w:t xml:space="preserve"> interested will have the chance to add to their EMC expertise and apply what they have learned to their everyday work. Meanwhile, the EMV Expo is set to take place on 24–26 </w:t>
      </w:r>
      <w:r w:rsidRPr="00E37D6A">
        <w:rPr>
          <w:lang w:val="en-US"/>
        </w:rPr>
        <w:lastRenderedPageBreak/>
        <w:t>March 2026 in Cologne, where it will once again offer exciting insights into the future of electromagnetic compatibility.</w:t>
      </w:r>
    </w:p>
    <w:p w14:paraId="0A154984" w14:textId="75BCD010" w:rsidR="007B2F67" w:rsidRPr="00E37D6A" w:rsidRDefault="00281D02" w:rsidP="00A15BC8">
      <w:pPr>
        <w:pStyle w:val="Continuoustext"/>
        <w:rPr>
          <w:lang w:val="en-US"/>
        </w:rPr>
      </w:pPr>
      <w:r w:rsidRPr="00E37D6A">
        <w:rPr>
          <w:lang w:val="en-US"/>
        </w:rPr>
        <w:t>EMV</w:t>
      </w:r>
    </w:p>
    <w:p w14:paraId="593D3401" w14:textId="1C00F1EB" w:rsidR="008F2A59" w:rsidRDefault="008F2A59" w:rsidP="008F2A59">
      <w:pPr>
        <w:pStyle w:val="Continuoustext"/>
        <w:spacing w:after="0"/>
        <w:rPr>
          <w:color w:val="FF0000"/>
          <w:lang w:val="en-US"/>
        </w:rPr>
      </w:pPr>
      <w:r w:rsidRPr="00585142">
        <w:rPr>
          <w:color w:val="auto"/>
          <w:lang w:val="en-US"/>
        </w:rPr>
        <w:t>Hub for Electromagnetic Compatibility</w:t>
      </w:r>
    </w:p>
    <w:p w14:paraId="6DB1F869" w14:textId="3ADD5CC8" w:rsidR="00A15BC8" w:rsidRPr="008F2A59" w:rsidRDefault="00281D02" w:rsidP="00A15BC8">
      <w:pPr>
        <w:pStyle w:val="Continuoustext"/>
        <w:rPr>
          <w:color w:val="auto"/>
          <w:lang w:val="en-US"/>
        </w:rPr>
      </w:pPr>
      <w:r w:rsidRPr="008F2A59">
        <w:rPr>
          <w:color w:val="auto"/>
          <w:lang w:val="en-US"/>
        </w:rPr>
        <w:t>International exhibition with workshops on electromagnetic compatibility</w:t>
      </w:r>
    </w:p>
    <w:p w14:paraId="5F93BB78" w14:textId="2BAE3FF8" w:rsidR="00C56C0A" w:rsidRPr="00E37D6A" w:rsidRDefault="007B2F67" w:rsidP="00673621">
      <w:pPr>
        <w:pStyle w:val="Continuoustext"/>
        <w:rPr>
          <w:lang w:val="en-US"/>
        </w:rPr>
      </w:pPr>
      <w:r w:rsidRPr="00E37D6A">
        <w:rPr>
          <w:lang w:val="en-US"/>
        </w:rPr>
        <w:t>EMV 2025 will be held on 25–27 March.</w:t>
      </w:r>
    </w:p>
    <w:p w14:paraId="0A9F4FEA" w14:textId="77777777" w:rsidR="00C56C0A" w:rsidRPr="00E37D6A" w:rsidRDefault="007B2F67" w:rsidP="002757C9">
      <w:pPr>
        <w:pStyle w:val="berschrift4"/>
        <w:rPr>
          <w:rFonts w:ascii="Arial" w:hAnsi="Arial"/>
        </w:rPr>
      </w:pPr>
      <w:bookmarkStart w:id="2" w:name="Presseueberschrift"/>
      <w:bookmarkStart w:id="3" w:name="hinweisueberschrift"/>
      <w:bookmarkEnd w:id="2"/>
      <w:bookmarkEnd w:id="3"/>
      <w:r w:rsidRPr="00E37D6A">
        <w:rPr>
          <w:rFonts w:ascii="Arial" w:hAnsi="Arial"/>
          <w:bCs/>
          <w:iCs w:val="0"/>
          <w:lang w:val="en-US"/>
        </w:rPr>
        <w:t>Press information and photographic material:</w:t>
      </w:r>
    </w:p>
    <w:bookmarkStart w:id="4" w:name="Journalisten"/>
    <w:bookmarkEnd w:id="4"/>
    <w:p w14:paraId="1CC97C0F" w14:textId="076C23EC" w:rsidR="00C56C0A" w:rsidRPr="00E37D6A" w:rsidRDefault="00281D02" w:rsidP="003F716F">
      <w:pPr>
        <w:pStyle w:val="Continuoustext"/>
        <w:rPr>
          <w:lang w:val="en-US"/>
        </w:rPr>
      </w:pPr>
      <w:r w:rsidRPr="00E37D6A">
        <w:rPr>
          <w:lang w:val="en-US"/>
        </w:rPr>
        <w:fldChar w:fldCharType="begin"/>
      </w:r>
      <w:r w:rsidRPr="00E37D6A">
        <w:rPr>
          <w:lang w:val="en-US"/>
        </w:rPr>
        <w:instrText xml:space="preserve"> HYPERLINK "https://emv.mesago.com/koeln/de/presse.html" </w:instrText>
      </w:r>
      <w:r w:rsidRPr="00E37D6A">
        <w:rPr>
          <w:lang w:val="en-US"/>
        </w:rPr>
        <w:fldChar w:fldCharType="separate"/>
      </w:r>
      <w:r w:rsidRPr="00E37D6A">
        <w:rPr>
          <w:rStyle w:val="Hyperlink"/>
          <w:lang w:val="en-US"/>
        </w:rPr>
        <w:t xml:space="preserve">Press – EMV </w:t>
      </w:r>
      <w:r w:rsidRPr="00E37D6A">
        <w:rPr>
          <w:lang w:val="en-US"/>
        </w:rPr>
        <w:fldChar w:fldCharType="end"/>
      </w:r>
    </w:p>
    <w:p w14:paraId="78A8F9D4" w14:textId="77777777" w:rsidR="00C56C0A" w:rsidRPr="00E37D6A" w:rsidRDefault="00C06975" w:rsidP="002757C9">
      <w:pPr>
        <w:pStyle w:val="berschrift4"/>
        <w:rPr>
          <w:rFonts w:ascii="Arial" w:hAnsi="Arial"/>
        </w:rPr>
      </w:pPr>
      <w:bookmarkStart w:id="5" w:name="Netzueberschrift"/>
      <w:bookmarkEnd w:id="5"/>
      <w:r w:rsidRPr="00E37D6A">
        <w:rPr>
          <w:rFonts w:ascii="Arial" w:hAnsi="Arial"/>
          <w:bCs/>
          <w:iCs w:val="0"/>
          <w:lang w:val="en-US"/>
        </w:rPr>
        <w:t>Links to websites:</w:t>
      </w:r>
    </w:p>
    <w:bookmarkStart w:id="6" w:name="Netz"/>
    <w:bookmarkEnd w:id="6"/>
    <w:p w14:paraId="05852491" w14:textId="5E79E098" w:rsidR="00732920" w:rsidRPr="00E37D6A" w:rsidRDefault="00281D02" w:rsidP="003F716F">
      <w:pPr>
        <w:pStyle w:val="Continuoustext"/>
        <w:rPr>
          <w:lang w:val="en-US"/>
        </w:rPr>
      </w:pPr>
      <w:r w:rsidRPr="00E37D6A">
        <w:rPr>
          <w:lang w:val="en-US"/>
        </w:rPr>
        <w:fldChar w:fldCharType="begin"/>
      </w:r>
      <w:r w:rsidRPr="00E37D6A">
        <w:rPr>
          <w:lang w:val="en-US"/>
        </w:rPr>
        <w:instrText xml:space="preserve"> HYPERLINK "https://emv.mesago.com/koeln/de.html" </w:instrText>
      </w:r>
      <w:r w:rsidRPr="00E37D6A">
        <w:rPr>
          <w:lang w:val="en-US"/>
        </w:rPr>
        <w:fldChar w:fldCharType="separate"/>
      </w:r>
      <w:r w:rsidRPr="00E37D6A">
        <w:rPr>
          <w:rStyle w:val="Hyperlink"/>
          <w:lang w:val="en-US"/>
        </w:rPr>
        <w:t>EMV – Trade Fair and Congress for Electromagnetic Compatibility</w:t>
      </w:r>
      <w:r w:rsidRPr="00E37D6A">
        <w:rPr>
          <w:lang w:val="en-US"/>
        </w:rPr>
        <w:fldChar w:fldCharType="end"/>
      </w:r>
      <w:r w:rsidRPr="00E37D6A">
        <w:rPr>
          <w:lang w:val="en-US"/>
        </w:rPr>
        <w:t xml:space="preserve"> </w:t>
      </w:r>
      <w:hyperlink r:id="rId8" w:history="1">
        <w:r w:rsidRPr="00E37D6A">
          <w:rPr>
            <w:rStyle w:val="Hyperlink"/>
            <w:lang w:val="en-US"/>
          </w:rPr>
          <w:t>https://www.linkedin.com/showcase/emv---international-exhibition-on-electromagnetic-compatibility-</w:t>
        </w:r>
        <w:proofErr w:type="spellStart"/>
        <w:r w:rsidRPr="00E37D6A">
          <w:rPr>
            <w:rStyle w:val="Hyperlink"/>
            <w:lang w:val="en-US"/>
          </w:rPr>
          <w:t>emc</w:t>
        </w:r>
        <w:proofErr w:type="spellEnd"/>
        <w:r w:rsidRPr="00E37D6A">
          <w:rPr>
            <w:rStyle w:val="Hyperlink"/>
            <w:lang w:val="en-US"/>
          </w:rPr>
          <w:t>-</w:t>
        </w:r>
      </w:hyperlink>
      <w:r w:rsidRPr="00E37D6A">
        <w:rPr>
          <w:color w:val="auto"/>
          <w:lang w:val="en-US"/>
        </w:rPr>
        <w:t xml:space="preserve"> </w:t>
      </w:r>
      <w:r w:rsidRPr="00E37D6A">
        <w:rPr>
          <w:color w:val="auto"/>
          <w:lang w:val="en-US"/>
        </w:rPr>
        <w:br/>
      </w:r>
    </w:p>
    <w:p w14:paraId="5FD88D8A" w14:textId="77777777" w:rsidR="003F716F" w:rsidRPr="00E37D6A"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37D6A" w14:paraId="46D167E0" w14:textId="77777777" w:rsidTr="00D27EB6">
        <w:tc>
          <w:tcPr>
            <w:tcW w:w="5000" w:type="pct"/>
            <w:tcMar>
              <w:left w:w="142" w:type="dxa"/>
              <w:right w:w="0" w:type="dxa"/>
            </w:tcMar>
          </w:tcPr>
          <w:p w14:paraId="11BAD02F" w14:textId="7463CB8F" w:rsidR="003902B2" w:rsidRPr="00E37D6A" w:rsidRDefault="001939ED" w:rsidP="003A4F8E">
            <w:pPr>
              <w:pStyle w:val="Logogram"/>
              <w:rPr>
                <w:rFonts w:ascii="Arial" w:hAnsi="Arial"/>
              </w:rPr>
            </w:pPr>
            <w:r w:rsidRPr="00E37D6A">
              <w:rPr>
                <w:rFonts w:ascii="Arial" w:hAnsi="Arial"/>
                <w:bCs/>
                <w:iCs w:val="0"/>
                <w:noProof/>
                <w:lang w:val="en-US"/>
              </w:rPr>
              <w:lastRenderedPageBreak/>
              <w:drawing>
                <wp:anchor distT="0" distB="0" distL="114300" distR="114300" simplePos="0" relativeHeight="251658240" behindDoc="0" locked="0" layoutInCell="1" allowOverlap="1" wp14:anchorId="33851AF2" wp14:editId="7A039EAC">
                  <wp:simplePos x="0" y="0"/>
                  <wp:positionH relativeFrom="column">
                    <wp:posOffset>-12065</wp:posOffset>
                  </wp:positionH>
                  <wp:positionV relativeFrom="paragraph">
                    <wp:posOffset>14605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EB0256" w14:paraId="384C85AF" w14:textId="77777777" w:rsidTr="00D27EB6">
        <w:tc>
          <w:tcPr>
            <w:tcW w:w="5000" w:type="pct"/>
          </w:tcPr>
          <w:p w14:paraId="6A8ADD2E" w14:textId="77777777" w:rsidR="003902B2" w:rsidRPr="00E37D6A" w:rsidRDefault="009045C6" w:rsidP="003A4F8E">
            <w:pPr>
              <w:pStyle w:val="Contact"/>
              <w:rPr>
                <w:rFonts w:ascii="Arial" w:hAnsi="Arial"/>
              </w:rPr>
            </w:pPr>
            <w:r w:rsidRPr="00E37D6A">
              <w:rPr>
                <w:rFonts w:ascii="Arial" w:hAnsi="Arial"/>
                <w:bCs/>
                <w:iCs w:val="0"/>
                <w:lang w:val="en-US"/>
              </w:rPr>
              <w:t>Your contact:</w:t>
            </w:r>
          </w:p>
          <w:p w14:paraId="665EA898" w14:textId="0A0479C7" w:rsidR="006A0B2A" w:rsidRPr="00E12FF7" w:rsidRDefault="008F2A59" w:rsidP="006A0B2A">
            <w:pPr>
              <w:pStyle w:val="Continuoustext"/>
              <w:rPr>
                <w:color w:val="auto"/>
                <w:lang w:val="en-US"/>
              </w:rPr>
            </w:pPr>
            <w:r w:rsidRPr="00E12FF7">
              <w:rPr>
                <w:color w:val="auto"/>
                <w:lang w:val="en-US"/>
              </w:rPr>
              <w:t>Jeannette Meyer</w:t>
            </w:r>
            <w:r w:rsidR="006A0B2A" w:rsidRPr="00E12FF7">
              <w:rPr>
                <w:color w:val="auto"/>
                <w:lang w:val="en-US"/>
              </w:rPr>
              <w:br/>
              <w:t>Phone: +49 711 61946-</w:t>
            </w:r>
            <w:r w:rsidRPr="00E12FF7">
              <w:rPr>
                <w:color w:val="auto"/>
                <w:lang w:val="en-US"/>
              </w:rPr>
              <w:t>290</w:t>
            </w:r>
            <w:r w:rsidR="006A0B2A" w:rsidRPr="00E12FF7">
              <w:rPr>
                <w:color w:val="auto"/>
                <w:lang w:val="en-US"/>
              </w:rPr>
              <w:br/>
            </w:r>
            <w:r w:rsidR="00E12FF7" w:rsidRPr="00E12FF7">
              <w:rPr>
                <w:color w:val="auto"/>
                <w:lang w:val="en-US"/>
              </w:rPr>
              <w:t>Jeannette</w:t>
            </w:r>
            <w:r w:rsidR="006A0B2A" w:rsidRPr="00E12FF7">
              <w:rPr>
                <w:color w:val="auto"/>
                <w:lang w:val="en-US"/>
              </w:rPr>
              <w:t>.</w:t>
            </w:r>
            <w:r w:rsidR="00E12FF7" w:rsidRPr="00E12FF7">
              <w:rPr>
                <w:color w:val="auto"/>
                <w:lang w:val="en-US"/>
              </w:rPr>
              <w:t>Meyer</w:t>
            </w:r>
            <w:r w:rsidR="006A0B2A" w:rsidRPr="00E12FF7">
              <w:rPr>
                <w:color w:val="auto"/>
                <w:lang w:val="en-US"/>
              </w:rPr>
              <w:t>@mesago.com</w:t>
            </w:r>
          </w:p>
          <w:p w14:paraId="3228C4AB" w14:textId="77777777" w:rsidR="009F0D32" w:rsidRDefault="005855F0" w:rsidP="005855F0">
            <w:pPr>
              <w:pStyle w:val="Continuoustext"/>
            </w:pPr>
            <w:r w:rsidRPr="00E37D6A">
              <w:t>Mesago Messe Frankfurt GmbH</w:t>
            </w:r>
            <w:r w:rsidRPr="00E37D6A">
              <w:br/>
            </w:r>
            <w:proofErr w:type="spellStart"/>
            <w:r w:rsidRPr="00E37D6A">
              <w:t>Rotebuehlstraße</w:t>
            </w:r>
            <w:proofErr w:type="spellEnd"/>
            <w:r w:rsidRPr="00E37D6A">
              <w:t xml:space="preserve"> 83 -85</w:t>
            </w:r>
            <w:r w:rsidRPr="00E37D6A">
              <w:br/>
              <w:t>70178 Stuttgart</w:t>
            </w:r>
            <w:r w:rsidRPr="00E37D6A">
              <w:br/>
              <w:t>Germany</w:t>
            </w:r>
            <w:r w:rsidRPr="00E37D6A">
              <w:br/>
            </w:r>
            <w:hyperlink r:id="rId10" w:history="1">
              <w:r w:rsidRPr="00E37D6A">
                <w:rPr>
                  <w:rStyle w:val="Hyperlink"/>
                </w:rPr>
                <w:t>www.mesago.com</w:t>
              </w:r>
            </w:hyperlink>
          </w:p>
          <w:p w14:paraId="641410D5" w14:textId="77777777" w:rsidR="00EB0256" w:rsidRDefault="00EB0256" w:rsidP="005855F0">
            <w:pPr>
              <w:pStyle w:val="Continuoustext"/>
            </w:pPr>
          </w:p>
          <w:p w14:paraId="70D6A074" w14:textId="77777777" w:rsidR="00EB0256" w:rsidRDefault="00EB0256" w:rsidP="00EB0256">
            <w:pPr>
              <w:pStyle w:val="berschrift4"/>
              <w:outlineLvl w:val="3"/>
              <w:rPr>
                <w:rFonts w:eastAsia="Times New Roman"/>
              </w:rPr>
            </w:pPr>
            <w:r>
              <w:rPr>
                <w:rFonts w:eastAsia="Times New Roman"/>
              </w:rPr>
              <w:t xml:space="preserve">Background information on </w:t>
            </w:r>
            <w:r w:rsidRPr="00C43C44">
              <w:rPr>
                <w:rFonts w:eastAsia="Times New Roman"/>
              </w:rPr>
              <w:t>Mesago Messe Frankfurt GmbH</w:t>
            </w:r>
          </w:p>
          <w:p w14:paraId="74D6839D" w14:textId="77777777" w:rsidR="00EB0256" w:rsidRPr="00AC7878" w:rsidRDefault="00EB0256" w:rsidP="00EB0256">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Pr>
                <w:rFonts w:cs="Arial"/>
              </w:rPr>
              <w:t>6</w:t>
            </w:r>
            <w:r w:rsidRPr="00AC7878">
              <w:rPr>
                <w:rFonts w:cs="Arial"/>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AC7878">
              <w:rPr>
                <w:rFonts w:cs="Arial"/>
              </w:rPr>
              <w:t>organizers</w:t>
            </w:r>
            <w:proofErr w:type="gramEnd"/>
            <w:r w:rsidRPr="00AC7878">
              <w:rPr>
                <w:rFonts w:cs="Arial"/>
              </w:rPr>
              <w:t xml:space="preserve"> and partners. </w:t>
            </w:r>
            <w:r w:rsidRPr="00AC7878">
              <w:rPr>
                <w:rFonts w:cs="Arial"/>
                <w:lang w:val="en-US"/>
              </w:rPr>
              <w:t>(</w:t>
            </w:r>
            <w:hyperlink r:id="rId11" w:history="1">
              <w:r w:rsidRPr="00AC7878">
                <w:rPr>
                  <w:rFonts w:cs="Arial"/>
                </w:rPr>
                <w:t>mesago.com</w:t>
              </w:r>
            </w:hyperlink>
            <w:r w:rsidRPr="00AC7878">
              <w:rPr>
                <w:rFonts w:cs="Arial"/>
                <w:lang w:val="en-US"/>
              </w:rPr>
              <w:t>)</w:t>
            </w:r>
          </w:p>
          <w:p w14:paraId="64841971" w14:textId="77777777" w:rsidR="00EB0256" w:rsidRPr="005E3C63" w:rsidRDefault="00EB0256" w:rsidP="00EB0256">
            <w:pPr>
              <w:pStyle w:val="berschrift4"/>
              <w:outlineLvl w:val="3"/>
              <w:rPr>
                <w:rFonts w:eastAsia="Times New Roman"/>
              </w:rPr>
            </w:pPr>
            <w:r w:rsidRPr="005E3C63">
              <w:rPr>
                <w:rFonts w:eastAsia="Times New Roman"/>
              </w:rPr>
              <w:t>Background information on Messe Frankfurt</w:t>
            </w:r>
          </w:p>
          <w:p w14:paraId="3AD0E42F" w14:textId="77777777" w:rsidR="00EB0256" w:rsidRPr="001F114D" w:rsidRDefault="006F6753" w:rsidP="00EB0256">
            <w:pPr>
              <w:pStyle w:val="Continuoustext"/>
              <w:rPr>
                <w:lang w:val="en-US"/>
              </w:rPr>
            </w:pPr>
            <w:hyperlink r:id="rId12" w:history="1">
              <w:r w:rsidR="00EB0256" w:rsidRPr="001F114D">
                <w:rPr>
                  <w:rStyle w:val="Hyperlink"/>
                  <w:lang w:val="en-US"/>
                </w:rPr>
                <w:t>www.messefrankfurt.com/background-information</w:t>
              </w:r>
            </w:hyperlink>
          </w:p>
          <w:p w14:paraId="7ACEBAA2" w14:textId="77777777" w:rsidR="00EB0256" w:rsidRPr="001F114D" w:rsidRDefault="00EB0256" w:rsidP="00EB0256">
            <w:pPr>
              <w:pStyle w:val="berschrift4"/>
              <w:outlineLvl w:val="3"/>
              <w:rPr>
                <w:rFonts w:eastAsia="Times New Roman"/>
                <w:lang w:val="en-US"/>
              </w:rPr>
            </w:pPr>
            <w:r w:rsidRPr="001F114D">
              <w:rPr>
                <w:rFonts w:eastAsia="Times New Roman"/>
                <w:lang w:val="en-US"/>
              </w:rPr>
              <w:t>Sustainability at Messe Frankfurt</w:t>
            </w:r>
          </w:p>
          <w:p w14:paraId="67DAD7B4" w14:textId="77777777" w:rsidR="00EB0256" w:rsidRPr="00AF2C83" w:rsidRDefault="006F6753" w:rsidP="00EB0256">
            <w:pPr>
              <w:pStyle w:val="Continuoustext"/>
              <w:rPr>
                <w:lang w:val="en-US"/>
              </w:rPr>
            </w:pPr>
            <w:hyperlink r:id="rId13" w:anchor="sustainability" w:history="1">
              <w:r w:rsidR="00EB0256" w:rsidRPr="00AF2C83">
                <w:rPr>
                  <w:rStyle w:val="Hyperlink"/>
                  <w:lang w:val="en-US"/>
                </w:rPr>
                <w:t>www.messefrankfurt.com/sustainability-information</w:t>
              </w:r>
            </w:hyperlink>
          </w:p>
          <w:p w14:paraId="729AD0E3" w14:textId="0B720319" w:rsidR="00EB0256" w:rsidRPr="00EB0256" w:rsidRDefault="00EB0256" w:rsidP="00EB0256">
            <w:pPr>
              <w:pStyle w:val="Continuoustext"/>
              <w:ind w:left="0"/>
              <w:rPr>
                <w:lang w:val="en-US"/>
              </w:rPr>
            </w:pPr>
          </w:p>
        </w:tc>
      </w:tr>
    </w:tbl>
    <w:p w14:paraId="5F29D09F" w14:textId="1F9FD1B1" w:rsidR="005855F0" w:rsidRPr="003E0CC4" w:rsidRDefault="005855F0" w:rsidP="00D425CB">
      <w:pPr>
        <w:pStyle w:val="berschrift4"/>
        <w:rPr>
          <w:rFonts w:eastAsia="Times New Roman"/>
          <w:vanish/>
        </w:rPr>
      </w:pPr>
      <w:r>
        <w:rPr>
          <w:rFonts w:eastAsia="Times New Roman"/>
          <w:bCs/>
          <w:iCs w:val="0"/>
          <w:vanish/>
        </w:rPr>
        <w:t>Background information on Mesago Messe Frankfurt GmbH</w:t>
      </w:r>
    </w:p>
    <w:p w14:paraId="78A1027A" w14:textId="5D5F2BB0" w:rsidR="00AC7878" w:rsidRPr="003E0CC4" w:rsidRDefault="00AC7878" w:rsidP="00AC7878">
      <w:pPr>
        <w:autoSpaceDE w:val="0"/>
        <w:autoSpaceDN w:val="0"/>
        <w:adjustRightInd w:val="0"/>
        <w:rPr>
          <w:rFonts w:asciiTheme="majorHAnsi" w:hAnsiTheme="majorHAnsi" w:cs="Arial"/>
          <w:vanish/>
        </w:rPr>
      </w:pPr>
      <w:r>
        <w:rPr>
          <w:rFonts w:asciiTheme="majorHAnsi" w:hAnsiTheme="majorHAnsi" w:cs="Arial"/>
          <w:vanish/>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4" w:history="1">
        <w:r>
          <w:rPr>
            <w:rFonts w:asciiTheme="majorHAnsi" w:hAnsiTheme="majorHAnsi" w:cs="Arial"/>
            <w:vanish/>
          </w:rPr>
          <w:t>mesago.com</w:t>
        </w:r>
      </w:hyperlink>
      <w:r>
        <w:rPr>
          <w:rFonts w:asciiTheme="majorHAnsi" w:hAnsiTheme="majorHAnsi" w:cs="Arial"/>
          <w:vanish/>
        </w:rPr>
        <w:t>)</w:t>
      </w:r>
    </w:p>
    <w:p w14:paraId="6AB14FBB" w14:textId="253AE32C" w:rsidR="00A925F0" w:rsidRPr="003E0CC4" w:rsidRDefault="009045C6" w:rsidP="00D425CB">
      <w:pPr>
        <w:pStyle w:val="berschrift4"/>
        <w:rPr>
          <w:rFonts w:eastAsia="Times New Roman"/>
          <w:vanish/>
        </w:rPr>
      </w:pPr>
      <w:r>
        <w:rPr>
          <w:rFonts w:eastAsia="Times New Roman"/>
          <w:bCs/>
          <w:iCs w:val="0"/>
          <w:vanish/>
        </w:rPr>
        <w:t>Background information on Messe Frankfurt</w:t>
      </w:r>
    </w:p>
    <w:p w14:paraId="2F4CABE0" w14:textId="2CF2F89C" w:rsidR="009045C6" w:rsidRPr="003E0CC4" w:rsidRDefault="006F6753" w:rsidP="00854A27">
      <w:pPr>
        <w:pStyle w:val="Continuoustext"/>
        <w:rPr>
          <w:rFonts w:asciiTheme="majorHAnsi" w:hAnsiTheme="majorHAnsi"/>
          <w:vanish/>
        </w:rPr>
      </w:pPr>
      <w:hyperlink r:id="rId15" w:history="1">
        <w:r w:rsidR="005855F0">
          <w:rPr>
            <w:rStyle w:val="Hyperlink"/>
            <w:rFonts w:asciiTheme="majorHAnsi" w:hAnsiTheme="majorHAnsi"/>
            <w:vanish/>
          </w:rPr>
          <w:t>www.messefrankfurt.com/background-information</w:t>
        </w:r>
      </w:hyperlink>
    </w:p>
    <w:p w14:paraId="2B6A7C47" w14:textId="77777777" w:rsidR="00B36757" w:rsidRPr="003E0CC4" w:rsidRDefault="00AF2C83" w:rsidP="00B36757">
      <w:pPr>
        <w:pStyle w:val="berschrift4"/>
        <w:rPr>
          <w:rFonts w:eastAsia="Times New Roman"/>
          <w:vanish/>
        </w:rPr>
      </w:pPr>
      <w:r>
        <w:rPr>
          <w:rFonts w:eastAsia="Times New Roman"/>
          <w:bCs/>
          <w:iCs w:val="0"/>
          <w:vanish/>
        </w:rPr>
        <w:t>Sustainability at Messe Frankfurt</w:t>
      </w:r>
    </w:p>
    <w:p w14:paraId="2F2E89B5" w14:textId="77777777" w:rsidR="00B36757" w:rsidRPr="003E0CC4" w:rsidRDefault="006F6753" w:rsidP="00B36757">
      <w:pPr>
        <w:pStyle w:val="Continuoustext"/>
        <w:rPr>
          <w:rFonts w:asciiTheme="majorHAnsi" w:hAnsiTheme="majorHAnsi"/>
          <w:vanish/>
        </w:rPr>
      </w:pPr>
      <w:hyperlink r:id="rId16" w:anchor="sustainability" w:history="1">
        <w:r w:rsidR="00AF2C83">
          <w:rPr>
            <w:rStyle w:val="Hyperlink"/>
            <w:rFonts w:asciiTheme="majorHAnsi" w:hAnsiTheme="majorHAnsi"/>
            <w:vanish/>
          </w:rPr>
          <w:t>www.messefrankfurt.com/sustainability-information</w:t>
        </w:r>
      </w:hyperlink>
    </w:p>
    <w:sectPr w:rsidR="00B36757" w:rsidRPr="003E0C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linkToQuery/>
    <w:dataType w:val="textFile"/>
    <w:query w:val="SELECT * FROM `Office Address List` "/>
    <w:addressFieldName w:val="EMailAdresse"/>
    <w:mailSubject w:val="Messe Frankfurt Presseinfo Test 11_V5 Automechanika Paace Mexico City"/>
    <w:activeRecord w:val="3"/>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66B37"/>
    <w:rsid w:val="001939ED"/>
    <w:rsid w:val="001F114D"/>
    <w:rsid w:val="001F14E5"/>
    <w:rsid w:val="00214096"/>
    <w:rsid w:val="00221135"/>
    <w:rsid w:val="00222267"/>
    <w:rsid w:val="0023133C"/>
    <w:rsid w:val="00240018"/>
    <w:rsid w:val="00247B78"/>
    <w:rsid w:val="002757C9"/>
    <w:rsid w:val="00281D02"/>
    <w:rsid w:val="00282497"/>
    <w:rsid w:val="002C7048"/>
    <w:rsid w:val="002D23F5"/>
    <w:rsid w:val="002D4502"/>
    <w:rsid w:val="002F431F"/>
    <w:rsid w:val="003179CF"/>
    <w:rsid w:val="00332988"/>
    <w:rsid w:val="00350C00"/>
    <w:rsid w:val="00363F18"/>
    <w:rsid w:val="003902B2"/>
    <w:rsid w:val="003A2D40"/>
    <w:rsid w:val="003A4F8E"/>
    <w:rsid w:val="003C4BD0"/>
    <w:rsid w:val="003D767A"/>
    <w:rsid w:val="003E0CC4"/>
    <w:rsid w:val="003F716F"/>
    <w:rsid w:val="00403B57"/>
    <w:rsid w:val="0042362C"/>
    <w:rsid w:val="00424857"/>
    <w:rsid w:val="0045113D"/>
    <w:rsid w:val="00467388"/>
    <w:rsid w:val="00484385"/>
    <w:rsid w:val="0049137E"/>
    <w:rsid w:val="00493E4E"/>
    <w:rsid w:val="004A1916"/>
    <w:rsid w:val="004F1D64"/>
    <w:rsid w:val="00505759"/>
    <w:rsid w:val="00515EEC"/>
    <w:rsid w:val="00523505"/>
    <w:rsid w:val="00536FE2"/>
    <w:rsid w:val="00540045"/>
    <w:rsid w:val="00566B83"/>
    <w:rsid w:val="00567AB6"/>
    <w:rsid w:val="0058253E"/>
    <w:rsid w:val="00585142"/>
    <w:rsid w:val="005855F0"/>
    <w:rsid w:val="005A13EF"/>
    <w:rsid w:val="005B2BAD"/>
    <w:rsid w:val="005B33FB"/>
    <w:rsid w:val="005E3C63"/>
    <w:rsid w:val="006241DE"/>
    <w:rsid w:val="00633CAD"/>
    <w:rsid w:val="00660085"/>
    <w:rsid w:val="0066008A"/>
    <w:rsid w:val="00673621"/>
    <w:rsid w:val="00696BE5"/>
    <w:rsid w:val="006A0B2A"/>
    <w:rsid w:val="006A698F"/>
    <w:rsid w:val="006C1E26"/>
    <w:rsid w:val="006C6DCE"/>
    <w:rsid w:val="006F6753"/>
    <w:rsid w:val="00701D02"/>
    <w:rsid w:val="00710E0D"/>
    <w:rsid w:val="00714D37"/>
    <w:rsid w:val="00726822"/>
    <w:rsid w:val="00732920"/>
    <w:rsid w:val="0076139D"/>
    <w:rsid w:val="00765A75"/>
    <w:rsid w:val="00765F4E"/>
    <w:rsid w:val="0078718F"/>
    <w:rsid w:val="00793455"/>
    <w:rsid w:val="007B2F67"/>
    <w:rsid w:val="007B3A1C"/>
    <w:rsid w:val="007C23F6"/>
    <w:rsid w:val="007C41C1"/>
    <w:rsid w:val="007D6943"/>
    <w:rsid w:val="007F69A9"/>
    <w:rsid w:val="00804671"/>
    <w:rsid w:val="00807121"/>
    <w:rsid w:val="00807C5C"/>
    <w:rsid w:val="008179FF"/>
    <w:rsid w:val="0084260E"/>
    <w:rsid w:val="00854A27"/>
    <w:rsid w:val="00867A39"/>
    <w:rsid w:val="0088042D"/>
    <w:rsid w:val="008A5874"/>
    <w:rsid w:val="008C479B"/>
    <w:rsid w:val="008D5680"/>
    <w:rsid w:val="008E4E88"/>
    <w:rsid w:val="008F02ED"/>
    <w:rsid w:val="008F2A59"/>
    <w:rsid w:val="009045C6"/>
    <w:rsid w:val="00905800"/>
    <w:rsid w:val="0091195F"/>
    <w:rsid w:val="009349EF"/>
    <w:rsid w:val="00936976"/>
    <w:rsid w:val="009373ED"/>
    <w:rsid w:val="00937762"/>
    <w:rsid w:val="00950F1B"/>
    <w:rsid w:val="00993CBF"/>
    <w:rsid w:val="009A6630"/>
    <w:rsid w:val="009B3394"/>
    <w:rsid w:val="009E5AB0"/>
    <w:rsid w:val="009F0D32"/>
    <w:rsid w:val="00A15BC8"/>
    <w:rsid w:val="00A27C32"/>
    <w:rsid w:val="00A3041E"/>
    <w:rsid w:val="00A331E4"/>
    <w:rsid w:val="00A53CAF"/>
    <w:rsid w:val="00A825A4"/>
    <w:rsid w:val="00A925F0"/>
    <w:rsid w:val="00AC7878"/>
    <w:rsid w:val="00AE7164"/>
    <w:rsid w:val="00AF2BDB"/>
    <w:rsid w:val="00AF2C83"/>
    <w:rsid w:val="00B02CED"/>
    <w:rsid w:val="00B0538E"/>
    <w:rsid w:val="00B07DB8"/>
    <w:rsid w:val="00B159EC"/>
    <w:rsid w:val="00B23D7D"/>
    <w:rsid w:val="00B36757"/>
    <w:rsid w:val="00BA0462"/>
    <w:rsid w:val="00BA056D"/>
    <w:rsid w:val="00BC2F55"/>
    <w:rsid w:val="00BE20F1"/>
    <w:rsid w:val="00BE3A4E"/>
    <w:rsid w:val="00BF27FA"/>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E3DF1"/>
    <w:rsid w:val="00CE780B"/>
    <w:rsid w:val="00CF138C"/>
    <w:rsid w:val="00D00796"/>
    <w:rsid w:val="00D0411E"/>
    <w:rsid w:val="00D22FE1"/>
    <w:rsid w:val="00D27EB6"/>
    <w:rsid w:val="00D34C3B"/>
    <w:rsid w:val="00D425CB"/>
    <w:rsid w:val="00D465FB"/>
    <w:rsid w:val="00D51603"/>
    <w:rsid w:val="00D536AD"/>
    <w:rsid w:val="00D54056"/>
    <w:rsid w:val="00D67944"/>
    <w:rsid w:val="00D708BD"/>
    <w:rsid w:val="00D83AE9"/>
    <w:rsid w:val="00DA7114"/>
    <w:rsid w:val="00DB728F"/>
    <w:rsid w:val="00E04E00"/>
    <w:rsid w:val="00E12FF7"/>
    <w:rsid w:val="00E31507"/>
    <w:rsid w:val="00E31AAD"/>
    <w:rsid w:val="00E32257"/>
    <w:rsid w:val="00E323AF"/>
    <w:rsid w:val="00E35847"/>
    <w:rsid w:val="00E36F51"/>
    <w:rsid w:val="00E37D6A"/>
    <w:rsid w:val="00E436CB"/>
    <w:rsid w:val="00E454F8"/>
    <w:rsid w:val="00E82225"/>
    <w:rsid w:val="00EB0256"/>
    <w:rsid w:val="00EC05B5"/>
    <w:rsid w:val="00EC4C24"/>
    <w:rsid w:val="00F11B29"/>
    <w:rsid w:val="00F164D8"/>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2F431F"/>
    <w:rPr>
      <w:sz w:val="16"/>
      <w:szCs w:val="16"/>
    </w:rPr>
  </w:style>
  <w:style w:type="paragraph" w:styleId="Kommentartext">
    <w:name w:val="annotation text"/>
    <w:basedOn w:val="Standard"/>
    <w:link w:val="KommentartextZchn"/>
    <w:uiPriority w:val="99"/>
    <w:semiHidden/>
    <w:rsid w:val="002F43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431F"/>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8F2A59"/>
    <w:rPr>
      <w:b/>
      <w:bCs/>
    </w:rPr>
  </w:style>
  <w:style w:type="character" w:customStyle="1" w:styleId="KommentarthemaZchn">
    <w:name w:val="Kommentarthema Zchn"/>
    <w:basedOn w:val="KommentartextZchn"/>
    <w:link w:val="Kommentarthema"/>
    <w:uiPriority w:val="99"/>
    <w:semiHidden/>
    <w:rsid w:val="008F2A59"/>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00761">
      <w:bodyDiv w:val="1"/>
      <w:marLeft w:val="0"/>
      <w:marRight w:val="0"/>
      <w:marTop w:val="0"/>
      <w:marBottom w:val="0"/>
      <w:divBdr>
        <w:top w:val="none" w:sz="0" w:space="0" w:color="auto"/>
        <w:left w:val="none" w:sz="0" w:space="0" w:color="auto"/>
        <w:bottom w:val="none" w:sz="0" w:space="0" w:color="auto"/>
        <w:right w:val="none" w:sz="0" w:space="0" w:color="auto"/>
      </w:divBdr>
    </w:div>
    <w:div w:id="1591697420">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owcase/emv---international-exhibition-on-electromagnetic-compatibility-emc-%20" TargetMode="External"/><Relationship Id="rId13" Type="http://schemas.openxmlformats.org/officeDocument/2006/relationships/hyperlink" Target="https://www.messefrankfurt.com/frankfurt/en/press/boilerplat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messefrankfurt.com/background-inform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ssefrankfurt.com/frankfurt/en/press/boilerplate.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corporate.mesago.com/events/en.html" TargetMode="External"/><Relationship Id="rId5" Type="http://schemas.openxmlformats.org/officeDocument/2006/relationships/image" Target="media/image1.wmf"/><Relationship Id="rId15" Type="http://schemas.openxmlformats.org/officeDocument/2006/relationships/hyperlink" Target="http://www.messefrankfurt.com/background-information" TargetMode="External"/><Relationship Id="rId10" Type="http://schemas.openxmlformats.org/officeDocument/2006/relationships/hyperlink" Target="https://corporate.mesago.com/events/en.html"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https://corporate.mesago.com/events/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8817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Manglani, Vineeta</cp:lastModifiedBy>
  <cp:revision>10</cp:revision>
  <cp:lastPrinted>2023-09-12T11:06:00Z</cp:lastPrinted>
  <dcterms:created xsi:type="dcterms:W3CDTF">2025-03-25T14:22:00Z</dcterms:created>
  <dcterms:modified xsi:type="dcterms:W3CDTF">2025-03-27T16:05:00Z</dcterms:modified>
</cp:coreProperties>
</file>