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046E39" w:rsidRPr="00046E39" w14:paraId="72656912" w14:textId="77777777" w:rsidTr="00447EAD">
        <w:trPr>
          <w:trHeight w:hRule="exact" w:val="880"/>
        </w:trPr>
        <w:tc>
          <w:tcPr>
            <w:tcW w:w="7348" w:type="dxa"/>
          </w:tcPr>
          <w:p w14:paraId="18BB1F7A" w14:textId="31CE2FF2" w:rsidR="00447EAD" w:rsidRPr="001C1761" w:rsidRDefault="00447EAD" w:rsidP="00447EAD">
            <w:pPr>
              <w:pStyle w:val="berschrift1"/>
              <w:ind w:left="0"/>
              <w:rPr>
                <w:highlight w:val="yellow"/>
                <w:lang w:val="en-US"/>
              </w:rPr>
            </w:pPr>
            <w:bookmarkStart w:id="0" w:name="_GoBack"/>
            <w:bookmarkEnd w:id="0"/>
            <w:r w:rsidRPr="001C1761">
              <w:rPr>
                <w:b/>
                <w:sz w:val="22"/>
                <w:szCs w:val="22"/>
                <w:lang w:val="en-US"/>
              </w:rPr>
              <w:t>Press release</w:t>
            </w:r>
          </w:p>
        </w:tc>
        <w:tc>
          <w:tcPr>
            <w:tcW w:w="7348" w:type="dxa"/>
          </w:tcPr>
          <w:p w14:paraId="61422EE1" w14:textId="791F031A" w:rsidR="00447EAD" w:rsidRPr="001C1761" w:rsidRDefault="002E4642" w:rsidP="00705F10">
            <w:pPr>
              <w:pStyle w:val="berschrift1"/>
              <w:ind w:left="0"/>
              <w:rPr>
                <w:lang w:val="en-US"/>
              </w:rPr>
            </w:pPr>
            <w:r>
              <w:rPr>
                <w:sz w:val="22"/>
                <w:szCs w:val="22"/>
                <w:lang w:val="en-US"/>
              </w:rPr>
              <w:t>10</w:t>
            </w:r>
            <w:r w:rsidR="008320D8" w:rsidRPr="001C1761">
              <w:rPr>
                <w:sz w:val="22"/>
                <w:szCs w:val="22"/>
                <w:lang w:val="en-US"/>
              </w:rPr>
              <w:t xml:space="preserve"> June 2021</w:t>
            </w:r>
          </w:p>
        </w:tc>
        <w:tc>
          <w:tcPr>
            <w:tcW w:w="2999" w:type="dxa"/>
          </w:tcPr>
          <w:p w14:paraId="430D5AE9" w14:textId="0679EE05" w:rsidR="00447EAD" w:rsidRPr="00046E39" w:rsidRDefault="00447EAD" w:rsidP="00447EAD">
            <w:pPr>
              <w:pStyle w:val="Kopfzeile"/>
              <w:tabs>
                <w:tab w:val="clear" w:pos="4819"/>
                <w:tab w:val="clear" w:pos="9071"/>
                <w:tab w:val="left" w:pos="1559"/>
              </w:tabs>
              <w:spacing w:before="220" w:line="250" w:lineRule="exact"/>
              <w:ind w:right="569"/>
              <w:rPr>
                <w:noProof/>
                <w:color w:val="FF0000"/>
                <w:szCs w:val="22"/>
                <w:highlight w:val="yellow"/>
                <w:lang w:val="en-US"/>
              </w:rPr>
            </w:pPr>
            <w:bookmarkStart w:id="1" w:name="Vdatum"/>
            <w:bookmarkEnd w:id="1"/>
          </w:p>
        </w:tc>
      </w:tr>
      <w:tr w:rsidR="00046E39" w:rsidRPr="00046E39" w14:paraId="4BCE48E6" w14:textId="77777777" w:rsidTr="00447EAD">
        <w:trPr>
          <w:trHeight w:val="1537"/>
        </w:trPr>
        <w:tc>
          <w:tcPr>
            <w:tcW w:w="7348" w:type="dxa"/>
          </w:tcPr>
          <w:p w14:paraId="422656A4" w14:textId="2AF47F5D" w:rsidR="00447EAD" w:rsidRPr="00046E39" w:rsidRDefault="00B01928" w:rsidP="00707300">
            <w:pPr>
              <w:spacing w:line="280" w:lineRule="atLeast"/>
              <w:rPr>
                <w:noProof/>
                <w:color w:val="FF0000"/>
                <w:highlight w:val="yellow"/>
                <w:lang w:val="en-US"/>
              </w:rPr>
            </w:pPr>
            <w:r w:rsidRPr="00B01928">
              <w:rPr>
                <w:rFonts w:cs="Arial"/>
                <w:sz w:val="36"/>
                <w:szCs w:val="36"/>
                <w:lang w:val="en-US"/>
              </w:rPr>
              <w:t xml:space="preserve">EMV 2022 Call for Papers </w:t>
            </w:r>
            <w:r w:rsidR="00707300">
              <w:rPr>
                <w:rFonts w:cs="Arial"/>
                <w:sz w:val="36"/>
                <w:szCs w:val="36"/>
                <w:lang w:val="en-US"/>
              </w:rPr>
              <w:t>commences</w:t>
            </w:r>
          </w:p>
        </w:tc>
        <w:tc>
          <w:tcPr>
            <w:tcW w:w="7348" w:type="dxa"/>
            <w:tcMar>
              <w:top w:w="0" w:type="dxa"/>
            </w:tcMar>
          </w:tcPr>
          <w:p w14:paraId="6C8E0068" w14:textId="77777777" w:rsidR="00447EAD" w:rsidRPr="008320D8" w:rsidRDefault="00447EAD" w:rsidP="00447EAD">
            <w:pPr>
              <w:spacing w:line="200" w:lineRule="exact"/>
              <w:rPr>
                <w:rFonts w:cs="Arial"/>
                <w:sz w:val="15"/>
                <w:szCs w:val="15"/>
                <w:lang w:val="en-US"/>
              </w:rPr>
            </w:pPr>
            <w:bookmarkStart w:id="2" w:name="Thema1"/>
            <w:bookmarkStart w:id="3" w:name="Thema2"/>
            <w:bookmarkEnd w:id="2"/>
            <w:bookmarkEnd w:id="3"/>
            <w:r w:rsidRPr="008320D8">
              <w:rPr>
                <w:rFonts w:cs="Arial"/>
                <w:sz w:val="15"/>
                <w:szCs w:val="15"/>
                <w:lang w:val="en-US"/>
              </w:rPr>
              <w:t>Vineeta Manglani</w:t>
            </w:r>
          </w:p>
          <w:p w14:paraId="1EB28F9E"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Tel. +49 711 61946-297</w:t>
            </w:r>
          </w:p>
          <w:p w14:paraId="433C615D"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Vineeta.Manglani@mesago.com</w:t>
            </w:r>
          </w:p>
          <w:p w14:paraId="7E6FF2C4" w14:textId="77777777" w:rsidR="00447EAD" w:rsidRPr="008320D8" w:rsidRDefault="00072A3D" w:rsidP="00447EAD">
            <w:pPr>
              <w:spacing w:line="200" w:lineRule="atLeast"/>
              <w:rPr>
                <w:rFonts w:cs="Arial"/>
                <w:sz w:val="15"/>
                <w:szCs w:val="15"/>
                <w:lang w:val="en-US"/>
              </w:rPr>
            </w:pPr>
            <w:hyperlink r:id="rId8" w:history="1">
              <w:r w:rsidR="00447EAD" w:rsidRPr="008320D8">
                <w:rPr>
                  <w:sz w:val="15"/>
                  <w:szCs w:val="15"/>
                  <w:lang w:val="en-US"/>
                </w:rPr>
                <w:t>e-emc.com</w:t>
              </w:r>
            </w:hyperlink>
          </w:p>
          <w:p w14:paraId="1D8AE18B" w14:textId="5DB349E2" w:rsidR="00447EAD" w:rsidRPr="00046E39" w:rsidRDefault="00447EAD" w:rsidP="00447EAD">
            <w:pPr>
              <w:spacing w:line="280" w:lineRule="atLeast"/>
              <w:rPr>
                <w:noProof/>
                <w:color w:val="FF0000"/>
              </w:rPr>
            </w:pPr>
          </w:p>
        </w:tc>
        <w:tc>
          <w:tcPr>
            <w:tcW w:w="2999" w:type="dxa"/>
            <w:tcMar>
              <w:top w:w="0" w:type="dxa"/>
            </w:tcMar>
          </w:tcPr>
          <w:p w14:paraId="572B3FCC" w14:textId="77777777" w:rsidR="00447EAD" w:rsidRPr="00046E39" w:rsidRDefault="00447EAD" w:rsidP="00447EAD">
            <w:pPr>
              <w:spacing w:line="200" w:lineRule="exact"/>
              <w:rPr>
                <w:rFonts w:cs="Arial"/>
                <w:color w:val="FF0000"/>
                <w:sz w:val="15"/>
                <w:szCs w:val="15"/>
                <w:highlight w:val="yellow"/>
              </w:rPr>
            </w:pPr>
            <w:bookmarkStart w:id="4" w:name="Vmeinname"/>
            <w:bookmarkEnd w:id="4"/>
          </w:p>
          <w:p w14:paraId="62B4C3F4" w14:textId="77777777" w:rsidR="00447EAD" w:rsidRPr="00046E39" w:rsidRDefault="00447EAD" w:rsidP="00447EAD">
            <w:pPr>
              <w:spacing w:line="200" w:lineRule="exact"/>
              <w:rPr>
                <w:color w:val="FF0000"/>
                <w:szCs w:val="22"/>
                <w:highlight w:val="yellow"/>
              </w:rPr>
            </w:pPr>
          </w:p>
        </w:tc>
      </w:tr>
    </w:tbl>
    <w:p w14:paraId="77C04D25" w14:textId="2E8A4FA7" w:rsidR="00B01928" w:rsidRPr="00B01928" w:rsidRDefault="00707300" w:rsidP="00B01928">
      <w:pPr>
        <w:spacing w:line="280" w:lineRule="atLeast"/>
        <w:rPr>
          <w:rFonts w:cs="Arial"/>
          <w:b/>
          <w:szCs w:val="22"/>
          <w:lang w:val="en-US"/>
        </w:rPr>
      </w:pPr>
      <w:bookmarkStart w:id="5" w:name="V_head1"/>
      <w:bookmarkEnd w:id="5"/>
      <w:r>
        <w:rPr>
          <w:rFonts w:cs="Arial"/>
          <w:b/>
          <w:szCs w:val="22"/>
          <w:lang w:val="en-US"/>
        </w:rPr>
        <w:t>In preparation for the next EMV</w:t>
      </w:r>
      <w:r w:rsidR="00AD00A5">
        <w:rPr>
          <w:rFonts w:cs="Arial"/>
          <w:b/>
          <w:szCs w:val="22"/>
          <w:lang w:val="en-US"/>
        </w:rPr>
        <w:t xml:space="preserve"> </w:t>
      </w:r>
      <w:r w:rsidR="005C13EA">
        <w:rPr>
          <w:rFonts w:cs="Arial"/>
          <w:b/>
          <w:szCs w:val="22"/>
          <w:lang w:val="en-US"/>
        </w:rPr>
        <w:t>event</w:t>
      </w:r>
      <w:r>
        <w:rPr>
          <w:rFonts w:cs="Arial"/>
          <w:b/>
          <w:szCs w:val="22"/>
          <w:lang w:val="en-US"/>
        </w:rPr>
        <w:t>, e</w:t>
      </w:r>
      <w:r w:rsidR="00B01928" w:rsidRPr="00B01928">
        <w:rPr>
          <w:rFonts w:cs="Arial"/>
          <w:b/>
          <w:szCs w:val="22"/>
          <w:lang w:val="en-US"/>
        </w:rPr>
        <w:t xml:space="preserve">xperts in electromagnetic compatibility </w:t>
      </w:r>
      <w:proofErr w:type="gramStart"/>
      <w:r w:rsidR="00B01928" w:rsidRPr="00B01928">
        <w:rPr>
          <w:rFonts w:cs="Arial"/>
          <w:b/>
          <w:szCs w:val="22"/>
          <w:lang w:val="en-US"/>
        </w:rPr>
        <w:t>are invited</w:t>
      </w:r>
      <w:proofErr w:type="gramEnd"/>
      <w:r w:rsidR="00B01928" w:rsidRPr="00B01928">
        <w:rPr>
          <w:rFonts w:cs="Arial"/>
          <w:b/>
          <w:szCs w:val="22"/>
          <w:lang w:val="en-US"/>
        </w:rPr>
        <w:t xml:space="preserve"> to actively </w:t>
      </w:r>
      <w:r w:rsidR="00AD00A5">
        <w:rPr>
          <w:rFonts w:cs="Arial"/>
          <w:b/>
          <w:szCs w:val="22"/>
          <w:lang w:val="en-US"/>
        </w:rPr>
        <w:t xml:space="preserve">design </w:t>
      </w:r>
      <w:r w:rsidR="00B01928" w:rsidRPr="00B01928">
        <w:rPr>
          <w:rFonts w:cs="Arial"/>
          <w:b/>
          <w:szCs w:val="22"/>
          <w:lang w:val="en-US"/>
        </w:rPr>
        <w:t>the conference and workshop program</w:t>
      </w:r>
      <w:r w:rsidR="00AD00A5">
        <w:rPr>
          <w:rFonts w:cs="Arial"/>
          <w:b/>
          <w:szCs w:val="22"/>
          <w:lang w:val="en-US"/>
        </w:rPr>
        <w:t>.</w:t>
      </w:r>
      <w:r w:rsidR="00B01928" w:rsidRPr="00B01928">
        <w:rPr>
          <w:rFonts w:cs="Arial"/>
          <w:b/>
          <w:szCs w:val="22"/>
          <w:lang w:val="en-US"/>
        </w:rPr>
        <w:t xml:space="preserve"> </w:t>
      </w:r>
      <w:r w:rsidR="00AD00A5">
        <w:rPr>
          <w:rFonts w:cs="Arial"/>
          <w:b/>
          <w:szCs w:val="22"/>
          <w:lang w:val="en-US"/>
        </w:rPr>
        <w:t xml:space="preserve">The event is to </w:t>
      </w:r>
      <w:proofErr w:type="gramStart"/>
      <w:r w:rsidR="00B01928" w:rsidRPr="00B01928">
        <w:rPr>
          <w:rFonts w:cs="Arial"/>
          <w:b/>
          <w:szCs w:val="22"/>
          <w:lang w:val="en-US"/>
        </w:rPr>
        <w:t>be held</w:t>
      </w:r>
      <w:proofErr w:type="gramEnd"/>
      <w:r w:rsidR="00B01928" w:rsidRPr="00B01928">
        <w:rPr>
          <w:rFonts w:cs="Arial"/>
          <w:b/>
          <w:szCs w:val="22"/>
          <w:lang w:val="en-US"/>
        </w:rPr>
        <w:t xml:space="preserve"> in Cologne from 15 to 17 March 2022. </w:t>
      </w:r>
    </w:p>
    <w:p w14:paraId="275C88FE" w14:textId="77777777" w:rsidR="00B01928" w:rsidRPr="00B01928" w:rsidRDefault="00B01928" w:rsidP="00B01928">
      <w:pPr>
        <w:spacing w:line="280" w:lineRule="atLeast"/>
        <w:rPr>
          <w:rFonts w:cs="Arial"/>
          <w:b/>
          <w:szCs w:val="22"/>
          <w:lang w:val="en-US"/>
        </w:rPr>
      </w:pPr>
    </w:p>
    <w:p w14:paraId="22BB0F20" w14:textId="0CFDF074" w:rsidR="00B01928" w:rsidRPr="00B01928" w:rsidRDefault="00B01928" w:rsidP="00B01928">
      <w:pPr>
        <w:spacing w:line="280" w:lineRule="atLeast"/>
        <w:rPr>
          <w:rFonts w:cs="Arial"/>
          <w:szCs w:val="22"/>
          <w:lang w:val="en-US"/>
        </w:rPr>
      </w:pPr>
      <w:r w:rsidRPr="00B01928">
        <w:rPr>
          <w:rFonts w:cs="Arial"/>
          <w:szCs w:val="22"/>
          <w:lang w:val="en-US"/>
        </w:rPr>
        <w:t>Representatives from academia and industry can now submit proposals for the EMV, Europe's</w:t>
      </w:r>
      <w:r w:rsidR="00AD00A5">
        <w:rPr>
          <w:rFonts w:cs="Arial"/>
          <w:szCs w:val="22"/>
          <w:lang w:val="en-US"/>
        </w:rPr>
        <w:t xml:space="preserve"> most significant</w:t>
      </w:r>
      <w:r w:rsidRPr="00B01928">
        <w:rPr>
          <w:rFonts w:cs="Arial"/>
          <w:szCs w:val="22"/>
          <w:lang w:val="en-US"/>
        </w:rPr>
        <w:t xml:space="preserve"> electromagnetic compatibility event. Abstract submissions are possible until 13 September 2021.</w:t>
      </w:r>
    </w:p>
    <w:p w14:paraId="3A5DEDB4" w14:textId="77777777" w:rsidR="00B01928" w:rsidRDefault="00B01928" w:rsidP="00B01928">
      <w:pPr>
        <w:spacing w:line="280" w:lineRule="atLeast"/>
        <w:rPr>
          <w:rFonts w:cs="Arial"/>
          <w:b/>
          <w:color w:val="FF0000"/>
          <w:szCs w:val="22"/>
          <w:lang w:val="en-US"/>
        </w:rPr>
      </w:pPr>
    </w:p>
    <w:p w14:paraId="0626B284" w14:textId="79E71175" w:rsidR="001C1761" w:rsidRPr="001C1761" w:rsidRDefault="001C1761" w:rsidP="001C1761">
      <w:pPr>
        <w:spacing w:line="280" w:lineRule="atLeast"/>
        <w:rPr>
          <w:rFonts w:cs="Arial"/>
          <w:b/>
          <w:szCs w:val="22"/>
          <w:lang w:val="en-US"/>
        </w:rPr>
      </w:pPr>
      <w:r w:rsidRPr="001C1761">
        <w:rPr>
          <w:rFonts w:cs="Arial"/>
          <w:b/>
          <w:szCs w:val="22"/>
          <w:lang w:val="en-US"/>
        </w:rPr>
        <w:t>T</w:t>
      </w:r>
      <w:r w:rsidR="00AD00A5">
        <w:rPr>
          <w:rFonts w:cs="Arial"/>
          <w:b/>
          <w:szCs w:val="22"/>
          <w:lang w:val="en-US"/>
        </w:rPr>
        <w:t xml:space="preserve">opics at </w:t>
      </w:r>
      <w:r w:rsidRPr="001C1761">
        <w:rPr>
          <w:rFonts w:cs="Arial"/>
          <w:b/>
          <w:szCs w:val="22"/>
          <w:lang w:val="en-US"/>
        </w:rPr>
        <w:t>the EMV 2022</w:t>
      </w:r>
    </w:p>
    <w:p w14:paraId="159B34B8" w14:textId="77777777" w:rsidR="001C1761" w:rsidRPr="001C1761" w:rsidRDefault="001C1761" w:rsidP="001C1761">
      <w:pPr>
        <w:spacing w:line="280" w:lineRule="atLeast"/>
        <w:rPr>
          <w:rFonts w:cs="Arial"/>
          <w:szCs w:val="22"/>
          <w:lang w:val="en-US"/>
        </w:rPr>
      </w:pPr>
    </w:p>
    <w:p w14:paraId="7E422FBE" w14:textId="75B88671" w:rsidR="001C1761" w:rsidRPr="001C1761" w:rsidRDefault="00AD00A5" w:rsidP="001C1761">
      <w:pPr>
        <w:spacing w:line="280" w:lineRule="atLeast"/>
        <w:rPr>
          <w:rFonts w:cs="Arial"/>
          <w:szCs w:val="22"/>
          <w:lang w:val="en-US"/>
        </w:rPr>
      </w:pPr>
      <w:r>
        <w:rPr>
          <w:rFonts w:cs="Arial"/>
          <w:szCs w:val="22"/>
          <w:lang w:val="en-US"/>
        </w:rPr>
        <w:t>T</w:t>
      </w:r>
      <w:r w:rsidRPr="001C1761">
        <w:rPr>
          <w:rFonts w:cs="Arial"/>
          <w:szCs w:val="22"/>
          <w:lang w:val="en-US"/>
        </w:rPr>
        <w:t xml:space="preserve">he committee has defined the following main topics </w:t>
      </w:r>
      <w:r>
        <w:rPr>
          <w:rFonts w:cs="Arial"/>
          <w:szCs w:val="22"/>
          <w:lang w:val="en-US"/>
        </w:rPr>
        <w:t>f</w:t>
      </w:r>
      <w:r w:rsidR="001C1761" w:rsidRPr="001C1761">
        <w:rPr>
          <w:rFonts w:cs="Arial"/>
          <w:szCs w:val="22"/>
          <w:lang w:val="en-US"/>
        </w:rPr>
        <w:t xml:space="preserve">or the EMV, which </w:t>
      </w:r>
      <w:proofErr w:type="gramStart"/>
      <w:r w:rsidR="001C1761" w:rsidRPr="001C1761">
        <w:rPr>
          <w:rFonts w:cs="Arial"/>
          <w:szCs w:val="22"/>
          <w:lang w:val="en-US"/>
        </w:rPr>
        <w:t>will be held</w:t>
      </w:r>
      <w:proofErr w:type="gramEnd"/>
      <w:r w:rsidR="001C1761" w:rsidRPr="001C1761">
        <w:rPr>
          <w:rFonts w:cs="Arial"/>
          <w:szCs w:val="22"/>
          <w:lang w:val="en-US"/>
        </w:rPr>
        <w:t xml:space="preserve"> in Cologne for the first time in 2022: </w:t>
      </w:r>
    </w:p>
    <w:p w14:paraId="4C2E9619" w14:textId="77777777" w:rsidR="001C1761" w:rsidRPr="00B01928" w:rsidRDefault="001C1761" w:rsidP="001C1761">
      <w:pPr>
        <w:spacing w:line="280" w:lineRule="atLeast"/>
        <w:rPr>
          <w:rFonts w:cs="Arial"/>
          <w:color w:val="FF0000"/>
          <w:szCs w:val="22"/>
          <w:lang w:val="en-US"/>
        </w:rPr>
      </w:pPr>
    </w:p>
    <w:p w14:paraId="7E8EABD3" w14:textId="61C523D6" w:rsidR="001C1761" w:rsidRPr="001C1761" w:rsidRDefault="0030770A" w:rsidP="001C1761">
      <w:pPr>
        <w:pStyle w:val="Listenabsatz"/>
        <w:numPr>
          <w:ilvl w:val="0"/>
          <w:numId w:val="10"/>
        </w:numPr>
        <w:spacing w:line="280" w:lineRule="atLeast"/>
        <w:rPr>
          <w:rFonts w:cs="Arial"/>
          <w:szCs w:val="22"/>
          <w:lang w:val="en-US"/>
        </w:rPr>
      </w:pPr>
      <w:r>
        <w:rPr>
          <w:rFonts w:cs="Arial"/>
          <w:szCs w:val="22"/>
          <w:lang w:val="en-US"/>
        </w:rPr>
        <w:t>I</w:t>
      </w:r>
      <w:r w:rsidR="001C1761" w:rsidRPr="001C1761">
        <w:rPr>
          <w:rFonts w:cs="Arial"/>
          <w:szCs w:val="22"/>
          <w:lang w:val="en-US"/>
        </w:rPr>
        <w:t>nterference</w:t>
      </w:r>
      <w:r>
        <w:rPr>
          <w:rFonts w:cs="Arial"/>
          <w:szCs w:val="22"/>
          <w:lang w:val="en-US"/>
        </w:rPr>
        <w:t xml:space="preserve"> sources</w:t>
      </w:r>
    </w:p>
    <w:p w14:paraId="4262C785" w14:textId="058D714C"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EMC in the product development process</w:t>
      </w:r>
    </w:p>
    <w:p w14:paraId="628D1B8C" w14:textId="1979CB98"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Interference suppression measures</w:t>
      </w:r>
    </w:p>
    <w:p w14:paraId="5A66A8B8" w14:textId="56EA044E"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EMC-compliant circuit design</w:t>
      </w:r>
    </w:p>
    <w:p w14:paraId="2F637309" w14:textId="70D8C81E"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Test and measurement</w:t>
      </w:r>
    </w:p>
    <w:p w14:paraId="1540F218" w14:textId="336F59B3"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 xml:space="preserve">Standardization, regulation, approval </w:t>
      </w:r>
    </w:p>
    <w:p w14:paraId="779443AE" w14:textId="40960099"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EMC in industrial applications</w:t>
      </w:r>
    </w:p>
    <w:p w14:paraId="0DF55690" w14:textId="206C2AF7"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EMC in traffic engineering</w:t>
      </w:r>
    </w:p>
    <w:p w14:paraId="1806789B" w14:textId="6A7B61F0" w:rsidR="001C1761" w:rsidRPr="001C1761" w:rsidRDefault="001C1761" w:rsidP="001C1761">
      <w:pPr>
        <w:pStyle w:val="Listenabsatz"/>
        <w:numPr>
          <w:ilvl w:val="0"/>
          <w:numId w:val="10"/>
        </w:numPr>
        <w:spacing w:line="280" w:lineRule="atLeast"/>
        <w:rPr>
          <w:rFonts w:cs="Arial"/>
          <w:szCs w:val="22"/>
          <w:lang w:val="en-US"/>
        </w:rPr>
      </w:pPr>
      <w:proofErr w:type="spellStart"/>
      <w:r w:rsidRPr="001C1761">
        <w:rPr>
          <w:rFonts w:cs="Arial"/>
          <w:szCs w:val="22"/>
          <w:lang w:val="en-US"/>
        </w:rPr>
        <w:t>Electromobility</w:t>
      </w:r>
      <w:proofErr w:type="spellEnd"/>
      <w:r w:rsidRPr="001C1761">
        <w:rPr>
          <w:rFonts w:cs="Arial"/>
          <w:szCs w:val="22"/>
          <w:lang w:val="en-US"/>
        </w:rPr>
        <w:t>/motor vehicles</w:t>
      </w:r>
    </w:p>
    <w:p w14:paraId="4B4D7ED1" w14:textId="0CFB1506"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Household, building, information and communication technology</w:t>
      </w:r>
    </w:p>
    <w:p w14:paraId="7706EDB7" w14:textId="7FD25D03"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EMC in radio and wireless</w:t>
      </w:r>
    </w:p>
    <w:p w14:paraId="5FDA84DB" w14:textId="25DE8978"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Power engineering</w:t>
      </w:r>
    </w:p>
    <w:p w14:paraId="5D27BDAB" w14:textId="7ADE26DB"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Biomedical engineering</w:t>
      </w:r>
    </w:p>
    <w:p w14:paraId="58A4297A" w14:textId="62B599F6"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Electromagnetic fields environment (EMCE)</w:t>
      </w:r>
    </w:p>
    <w:p w14:paraId="2CD81DCA" w14:textId="61C4C78E" w:rsidR="001C1761" w:rsidRPr="001C1761" w:rsidRDefault="001C1761" w:rsidP="001C1761">
      <w:pPr>
        <w:pStyle w:val="Listenabsatz"/>
        <w:numPr>
          <w:ilvl w:val="0"/>
          <w:numId w:val="10"/>
        </w:numPr>
        <w:spacing w:line="280" w:lineRule="atLeast"/>
        <w:rPr>
          <w:rFonts w:cs="Arial"/>
          <w:szCs w:val="22"/>
          <w:lang w:val="en-US"/>
        </w:rPr>
      </w:pPr>
      <w:r w:rsidRPr="001C1761">
        <w:rPr>
          <w:rFonts w:cs="Arial"/>
          <w:szCs w:val="22"/>
          <w:lang w:val="en-US"/>
        </w:rPr>
        <w:t>Science meets application</w:t>
      </w:r>
    </w:p>
    <w:p w14:paraId="79FB9A82" w14:textId="77777777" w:rsidR="001C1761" w:rsidRPr="000A0759" w:rsidRDefault="001C1761" w:rsidP="001C1761">
      <w:pPr>
        <w:spacing w:line="280" w:lineRule="atLeast"/>
        <w:rPr>
          <w:rFonts w:cs="Arial"/>
          <w:szCs w:val="22"/>
          <w:lang w:val="en-US"/>
        </w:rPr>
      </w:pPr>
    </w:p>
    <w:p w14:paraId="135D9CA7" w14:textId="7A77CB59" w:rsidR="00B01928" w:rsidRPr="00B01928" w:rsidRDefault="00B01928" w:rsidP="00B01928">
      <w:pPr>
        <w:spacing w:line="280" w:lineRule="atLeast"/>
        <w:rPr>
          <w:rFonts w:cs="Arial"/>
          <w:b/>
          <w:szCs w:val="22"/>
          <w:lang w:val="en-US"/>
        </w:rPr>
      </w:pPr>
      <w:r w:rsidRPr="00B01928">
        <w:rPr>
          <w:rFonts w:cs="Arial"/>
          <w:b/>
          <w:szCs w:val="22"/>
          <w:lang w:val="en-US"/>
        </w:rPr>
        <w:t>Conference participation with English contributions possible</w:t>
      </w:r>
    </w:p>
    <w:p w14:paraId="46670D58" w14:textId="77777777" w:rsidR="00B01928" w:rsidRPr="000A0759" w:rsidRDefault="00B01928" w:rsidP="00B01928">
      <w:pPr>
        <w:spacing w:line="280" w:lineRule="atLeast"/>
        <w:rPr>
          <w:rFonts w:cs="Arial"/>
          <w:b/>
          <w:szCs w:val="22"/>
          <w:lang w:val="en-US"/>
        </w:rPr>
      </w:pPr>
    </w:p>
    <w:p w14:paraId="4F52FF6B" w14:textId="267FDF4E" w:rsidR="00B01928" w:rsidRDefault="00B01928" w:rsidP="00B01928">
      <w:pPr>
        <w:spacing w:line="280" w:lineRule="atLeast"/>
        <w:rPr>
          <w:rFonts w:cs="Arial"/>
          <w:color w:val="303030"/>
          <w:lang w:val="en-US"/>
        </w:rPr>
      </w:pPr>
      <w:r>
        <w:rPr>
          <w:rFonts w:cs="Arial"/>
          <w:bCs/>
          <w:color w:val="303030"/>
          <w:lang w:val="en-US"/>
        </w:rPr>
        <w:t>S</w:t>
      </w:r>
      <w:r w:rsidRPr="00B01928">
        <w:rPr>
          <w:rFonts w:cs="Arial"/>
          <w:bCs/>
          <w:color w:val="303030"/>
          <w:lang w:val="en-US"/>
        </w:rPr>
        <w:t>peakers can now hold conference presentations in</w:t>
      </w:r>
      <w:r>
        <w:rPr>
          <w:rFonts w:cs="Arial"/>
          <w:bCs/>
          <w:color w:val="303030"/>
          <w:lang w:val="en-US"/>
        </w:rPr>
        <w:t xml:space="preserve"> English or, as before, in</w:t>
      </w:r>
      <w:r w:rsidRPr="00B01928">
        <w:rPr>
          <w:rFonts w:cs="Arial"/>
          <w:bCs/>
          <w:color w:val="303030"/>
          <w:lang w:val="en-US"/>
        </w:rPr>
        <w:t xml:space="preserve"> German</w:t>
      </w:r>
      <w:r w:rsidRPr="00B01928">
        <w:rPr>
          <w:rFonts w:cs="Arial"/>
          <w:color w:val="303030"/>
          <w:lang w:val="en-US"/>
        </w:rPr>
        <w:t xml:space="preserve">. </w:t>
      </w:r>
      <w:r w:rsidR="00AD00A5">
        <w:rPr>
          <w:rFonts w:cs="Arial"/>
          <w:color w:val="303030"/>
          <w:lang w:val="en-US"/>
        </w:rPr>
        <w:t xml:space="preserve">In addition, those </w:t>
      </w:r>
      <w:r>
        <w:rPr>
          <w:rFonts w:cs="Arial"/>
          <w:color w:val="303030"/>
          <w:lang w:val="en-US"/>
        </w:rPr>
        <w:t xml:space="preserve">interested </w:t>
      </w:r>
      <w:r w:rsidRPr="00B01928">
        <w:rPr>
          <w:rFonts w:cs="Arial"/>
          <w:color w:val="303030"/>
          <w:lang w:val="en-US"/>
        </w:rPr>
        <w:t>can choose between two</w:t>
      </w:r>
      <w:r>
        <w:rPr>
          <w:rFonts w:cs="Arial"/>
          <w:color w:val="303030"/>
          <w:lang w:val="en-US"/>
        </w:rPr>
        <w:t xml:space="preserve"> forms of participation </w:t>
      </w:r>
      <w:r w:rsidRPr="00B01928">
        <w:rPr>
          <w:rFonts w:cs="Arial"/>
          <w:color w:val="303030"/>
          <w:lang w:val="en-US"/>
        </w:rPr>
        <w:t>in the conference</w:t>
      </w:r>
      <w:r>
        <w:rPr>
          <w:rFonts w:cs="Arial"/>
          <w:color w:val="303030"/>
          <w:lang w:val="en-US"/>
        </w:rPr>
        <w:t xml:space="preserve">, which differ mainly in terms </w:t>
      </w:r>
      <w:r>
        <w:rPr>
          <w:rFonts w:cs="Arial"/>
          <w:color w:val="303030"/>
          <w:lang w:val="en-US"/>
        </w:rPr>
        <w:lastRenderedPageBreak/>
        <w:t>of the time required</w:t>
      </w:r>
      <w:r w:rsidRPr="00B01928">
        <w:rPr>
          <w:rFonts w:cs="Arial"/>
          <w:color w:val="303030"/>
          <w:lang w:val="en-US"/>
        </w:rPr>
        <w:t xml:space="preserve"> and the citation eligibility</w:t>
      </w:r>
      <w:r w:rsidR="001C1761">
        <w:rPr>
          <w:rFonts w:cs="Arial"/>
          <w:color w:val="303030"/>
          <w:lang w:val="en-US"/>
        </w:rPr>
        <w:t>:</w:t>
      </w:r>
    </w:p>
    <w:p w14:paraId="6502C90B" w14:textId="77777777" w:rsidR="001C1761" w:rsidRDefault="001C1761" w:rsidP="00B01928">
      <w:pPr>
        <w:spacing w:line="280" w:lineRule="atLeast"/>
        <w:rPr>
          <w:rFonts w:cs="Arial"/>
          <w:color w:val="303030"/>
          <w:lang w:val="en-US"/>
        </w:rPr>
      </w:pPr>
    </w:p>
    <w:p w14:paraId="483C70FC" w14:textId="7B57F497" w:rsidR="001C1761" w:rsidRPr="001C1761" w:rsidRDefault="001C1761" w:rsidP="001C1761">
      <w:pPr>
        <w:pStyle w:val="Listenabsatz"/>
        <w:numPr>
          <w:ilvl w:val="0"/>
          <w:numId w:val="11"/>
        </w:numPr>
        <w:spacing w:line="280" w:lineRule="atLeast"/>
        <w:rPr>
          <w:rFonts w:cs="Arial"/>
          <w:szCs w:val="22"/>
          <w:lang w:val="en-US"/>
        </w:rPr>
      </w:pPr>
      <w:r w:rsidRPr="001C1761">
        <w:rPr>
          <w:rFonts w:cs="Arial"/>
          <w:szCs w:val="22"/>
          <w:lang w:val="en-US"/>
        </w:rPr>
        <w:t xml:space="preserve">Speakers can submit an abstract as usual and later a full paper. The full paper </w:t>
      </w:r>
      <w:proofErr w:type="gramStart"/>
      <w:r w:rsidRPr="001C1761">
        <w:rPr>
          <w:rFonts w:cs="Arial"/>
          <w:szCs w:val="22"/>
          <w:lang w:val="en-US"/>
        </w:rPr>
        <w:t>will be published</w:t>
      </w:r>
      <w:proofErr w:type="gramEnd"/>
      <w:r w:rsidRPr="001C1761">
        <w:rPr>
          <w:rFonts w:cs="Arial"/>
          <w:szCs w:val="22"/>
          <w:lang w:val="en-US"/>
        </w:rPr>
        <w:t xml:space="preserve"> in the con</w:t>
      </w:r>
      <w:r>
        <w:rPr>
          <w:rFonts w:cs="Arial"/>
          <w:szCs w:val="22"/>
          <w:lang w:val="en-US"/>
        </w:rPr>
        <w:t>ference</w:t>
      </w:r>
      <w:r w:rsidRPr="001C1761">
        <w:rPr>
          <w:rFonts w:cs="Arial"/>
          <w:szCs w:val="22"/>
          <w:lang w:val="en-US"/>
        </w:rPr>
        <w:t xml:space="preserve"> proceedings and in the repository with DOI number (Open Access) as a citable publication. </w:t>
      </w:r>
    </w:p>
    <w:p w14:paraId="36E7A3B5" w14:textId="5EEF75E1" w:rsidR="001C1761" w:rsidRPr="001C1761" w:rsidRDefault="001C1761" w:rsidP="001C1761">
      <w:pPr>
        <w:pStyle w:val="Listenabsatz"/>
        <w:numPr>
          <w:ilvl w:val="0"/>
          <w:numId w:val="11"/>
        </w:numPr>
        <w:spacing w:line="280" w:lineRule="atLeast"/>
        <w:rPr>
          <w:rFonts w:cs="Arial"/>
          <w:szCs w:val="22"/>
          <w:lang w:val="en-US"/>
        </w:rPr>
      </w:pPr>
      <w:r w:rsidRPr="001C1761">
        <w:rPr>
          <w:rFonts w:cs="Arial"/>
          <w:szCs w:val="22"/>
          <w:lang w:val="en-US"/>
        </w:rPr>
        <w:t>In the Call for Papers, submissions without a full paper are now also accepted. These do not have to be a first publication.</w:t>
      </w:r>
    </w:p>
    <w:p w14:paraId="63AA974A" w14:textId="77777777" w:rsidR="00B01928" w:rsidRPr="00B01928" w:rsidRDefault="00B01928" w:rsidP="00B01928">
      <w:pPr>
        <w:spacing w:line="280" w:lineRule="atLeast"/>
        <w:rPr>
          <w:rFonts w:cs="Arial"/>
          <w:szCs w:val="22"/>
          <w:lang w:val="en-US"/>
        </w:rPr>
      </w:pPr>
    </w:p>
    <w:p w14:paraId="227ADFF4" w14:textId="12A67B0C" w:rsidR="00B01928" w:rsidRPr="00B01928" w:rsidRDefault="00B01928" w:rsidP="00B01928">
      <w:pPr>
        <w:spacing w:line="280" w:lineRule="atLeast"/>
        <w:rPr>
          <w:rFonts w:cs="Arial"/>
          <w:b/>
          <w:szCs w:val="22"/>
          <w:lang w:val="en-US"/>
        </w:rPr>
      </w:pPr>
      <w:r w:rsidRPr="00B01928">
        <w:rPr>
          <w:rFonts w:cs="Arial"/>
          <w:b/>
          <w:szCs w:val="22"/>
          <w:lang w:val="en-US"/>
        </w:rPr>
        <w:t>Choice between lecture formats</w:t>
      </w:r>
    </w:p>
    <w:p w14:paraId="5EEE66F6" w14:textId="77777777" w:rsidR="00B01928" w:rsidRPr="00B01928" w:rsidRDefault="00B01928" w:rsidP="00B01928">
      <w:pPr>
        <w:spacing w:line="280" w:lineRule="atLeast"/>
        <w:rPr>
          <w:rFonts w:cs="Arial"/>
          <w:szCs w:val="22"/>
          <w:lang w:val="en-US"/>
        </w:rPr>
      </w:pPr>
    </w:p>
    <w:p w14:paraId="7AF0C49A" w14:textId="12B8B749" w:rsidR="00B01928" w:rsidRPr="00B01928" w:rsidRDefault="00B01928" w:rsidP="00B01928">
      <w:pPr>
        <w:spacing w:line="280" w:lineRule="atLeast"/>
        <w:rPr>
          <w:rFonts w:cs="Arial"/>
          <w:szCs w:val="22"/>
          <w:lang w:val="en-US"/>
        </w:rPr>
      </w:pPr>
      <w:r w:rsidRPr="00B01928">
        <w:rPr>
          <w:rFonts w:cs="Arial"/>
          <w:szCs w:val="22"/>
          <w:lang w:val="en-US"/>
        </w:rPr>
        <w:t>Depending on the scope, thematic structure and target group, it is possible to submit an abstract for a 20-minute contribution at the con</w:t>
      </w:r>
      <w:r>
        <w:rPr>
          <w:rFonts w:cs="Arial"/>
          <w:szCs w:val="22"/>
          <w:lang w:val="en-US"/>
        </w:rPr>
        <w:t>ference</w:t>
      </w:r>
      <w:r w:rsidR="00AD00A5">
        <w:rPr>
          <w:rFonts w:cs="Arial"/>
          <w:szCs w:val="22"/>
          <w:lang w:val="en-US"/>
        </w:rPr>
        <w:t>,</w:t>
      </w:r>
      <w:r w:rsidRPr="00B01928">
        <w:rPr>
          <w:rFonts w:cs="Arial"/>
          <w:szCs w:val="22"/>
          <w:lang w:val="en-US"/>
        </w:rPr>
        <w:t xml:space="preserve"> or to apply for a</w:t>
      </w:r>
      <w:r w:rsidR="00A752FA">
        <w:rPr>
          <w:rFonts w:cs="Arial"/>
          <w:szCs w:val="22"/>
          <w:lang w:val="en-US"/>
        </w:rPr>
        <w:t>n approximately</w:t>
      </w:r>
      <w:r w:rsidRPr="00B01928">
        <w:rPr>
          <w:rFonts w:cs="Arial"/>
          <w:szCs w:val="22"/>
          <w:lang w:val="en-US"/>
        </w:rPr>
        <w:t xml:space="preserve"> three-hour, practice-oriented workshop.</w:t>
      </w:r>
    </w:p>
    <w:p w14:paraId="01B354F7" w14:textId="77777777" w:rsidR="00B01928" w:rsidRPr="00B01928" w:rsidRDefault="00B01928" w:rsidP="00B01928">
      <w:pPr>
        <w:spacing w:line="280" w:lineRule="atLeast"/>
        <w:rPr>
          <w:rFonts w:cs="Arial"/>
          <w:szCs w:val="22"/>
          <w:lang w:val="en-US"/>
        </w:rPr>
      </w:pPr>
    </w:p>
    <w:p w14:paraId="6D127628" w14:textId="0DFAC457" w:rsidR="00B05296" w:rsidRDefault="00B01928" w:rsidP="00B87009">
      <w:pPr>
        <w:spacing w:line="280" w:lineRule="atLeast"/>
        <w:rPr>
          <w:rFonts w:cs="Arial"/>
          <w:szCs w:val="22"/>
          <w:lang w:val="en-US"/>
        </w:rPr>
      </w:pPr>
      <w:r w:rsidRPr="00B01928">
        <w:rPr>
          <w:rFonts w:cs="Arial"/>
          <w:szCs w:val="22"/>
          <w:lang w:val="en-US"/>
        </w:rPr>
        <w:t>Submission requirements and detailed information on the different presentation formats are available at e-emc.com/</w:t>
      </w:r>
      <w:proofErr w:type="spellStart"/>
      <w:r w:rsidRPr="00B01928">
        <w:rPr>
          <w:rFonts w:cs="Arial"/>
          <w:szCs w:val="22"/>
          <w:lang w:val="en-US"/>
        </w:rPr>
        <w:t>callforpapers</w:t>
      </w:r>
      <w:proofErr w:type="spellEnd"/>
      <w:r w:rsidRPr="00B01928">
        <w:rPr>
          <w:rFonts w:cs="Arial"/>
          <w:szCs w:val="22"/>
          <w:lang w:val="en-US"/>
        </w:rPr>
        <w:t>.</w:t>
      </w:r>
    </w:p>
    <w:p w14:paraId="684AEDC8" w14:textId="77777777" w:rsidR="00B01928" w:rsidRPr="00B01928" w:rsidRDefault="00B01928" w:rsidP="00B87009">
      <w:pPr>
        <w:spacing w:line="280" w:lineRule="atLeast"/>
        <w:rPr>
          <w:rFonts w:cs="Arial"/>
          <w:szCs w:val="22"/>
          <w:lang w:val="en-US"/>
        </w:rPr>
      </w:pPr>
    </w:p>
    <w:p w14:paraId="29073A03" w14:textId="77777777" w:rsidR="00447EAD" w:rsidRPr="00B01928" w:rsidRDefault="00447EAD" w:rsidP="008320D8">
      <w:pPr>
        <w:spacing w:line="320" w:lineRule="atLeast"/>
        <w:rPr>
          <w:rFonts w:cs="Arial"/>
          <w:b/>
          <w:sz w:val="17"/>
          <w:szCs w:val="17"/>
          <w:lang w:val="en-US"/>
        </w:rPr>
      </w:pPr>
      <w:bookmarkStart w:id="6" w:name="OLE_LINK1"/>
      <w:r w:rsidRPr="00B01928">
        <w:rPr>
          <w:rFonts w:cs="Arial"/>
          <w:b/>
          <w:sz w:val="17"/>
          <w:szCs w:val="17"/>
          <w:lang w:val="en-US"/>
        </w:rPr>
        <w:t xml:space="preserve">About Mesago </w:t>
      </w:r>
      <w:proofErr w:type="spellStart"/>
      <w:r w:rsidRPr="00B01928">
        <w:rPr>
          <w:rFonts w:cs="Arial"/>
          <w:b/>
          <w:sz w:val="17"/>
          <w:szCs w:val="17"/>
          <w:lang w:val="en-US"/>
        </w:rPr>
        <w:t>Messe</w:t>
      </w:r>
      <w:proofErr w:type="spellEnd"/>
      <w:r w:rsidRPr="00B01928">
        <w:rPr>
          <w:rFonts w:cs="Arial"/>
          <w:b/>
          <w:sz w:val="17"/>
          <w:szCs w:val="17"/>
          <w:lang w:val="en-US"/>
        </w:rPr>
        <w:t xml:space="preserve"> Frankfurt</w:t>
      </w:r>
    </w:p>
    <w:p w14:paraId="0C922450" w14:textId="77777777" w:rsidR="0082430A" w:rsidRPr="00B01928" w:rsidRDefault="00447EAD" w:rsidP="008320D8">
      <w:pPr>
        <w:autoSpaceDE w:val="0"/>
        <w:autoSpaceDN w:val="0"/>
        <w:adjustRightInd w:val="0"/>
        <w:rPr>
          <w:rFonts w:cs="Arial"/>
          <w:sz w:val="17"/>
          <w:szCs w:val="17"/>
          <w:lang w:val="en-US"/>
        </w:rPr>
      </w:pPr>
      <w:r w:rsidRPr="00B01928">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B01928">
        <w:rPr>
          <w:rFonts w:cs="Arial"/>
          <w:sz w:val="17"/>
          <w:szCs w:val="17"/>
          <w:lang w:val="en-GB"/>
        </w:rPr>
        <w:t>Messe</w:t>
      </w:r>
      <w:proofErr w:type="spellEnd"/>
      <w:r w:rsidRPr="00B01928">
        <w:rPr>
          <w:rFonts w:cs="Arial"/>
          <w:sz w:val="17"/>
          <w:szCs w:val="17"/>
          <w:lang w:val="en-GB"/>
        </w:rPr>
        <w:t xml:space="preserve"> Frankfurt Group. Mesago operates internationally and is not tied to a specific venue. With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B01928">
        <w:rPr>
          <w:rFonts w:cs="Arial"/>
          <w:sz w:val="17"/>
          <w:szCs w:val="17"/>
          <w:lang w:val="en-US"/>
        </w:rPr>
        <w:t>(</w:t>
      </w:r>
      <w:hyperlink r:id="rId9" w:history="1">
        <w:r w:rsidRPr="00B01928">
          <w:rPr>
            <w:rFonts w:cs="Arial"/>
            <w:sz w:val="17"/>
            <w:szCs w:val="17"/>
            <w:lang w:val="en-GB"/>
          </w:rPr>
          <w:t>mesago.com</w:t>
        </w:r>
      </w:hyperlink>
      <w:r w:rsidRPr="00B01928">
        <w:rPr>
          <w:rFonts w:cs="Arial"/>
          <w:sz w:val="17"/>
          <w:szCs w:val="17"/>
          <w:lang w:val="en-US"/>
        </w:rPr>
        <w:t>)</w:t>
      </w:r>
      <w:bookmarkEnd w:id="6"/>
    </w:p>
    <w:p w14:paraId="3BDC5BB2" w14:textId="77777777" w:rsidR="0082430A" w:rsidRPr="00B01928" w:rsidRDefault="0082430A" w:rsidP="008320D8">
      <w:pPr>
        <w:autoSpaceDE w:val="0"/>
        <w:autoSpaceDN w:val="0"/>
        <w:adjustRightInd w:val="0"/>
        <w:rPr>
          <w:rFonts w:cs="Arial"/>
          <w:sz w:val="17"/>
          <w:szCs w:val="17"/>
          <w:lang w:val="en-US"/>
        </w:rPr>
      </w:pPr>
    </w:p>
    <w:p w14:paraId="46E725F4" w14:textId="5D87BFF7" w:rsidR="0082430A" w:rsidRPr="00B01928" w:rsidRDefault="0082430A" w:rsidP="008320D8">
      <w:pPr>
        <w:autoSpaceDE w:val="0"/>
        <w:autoSpaceDN w:val="0"/>
        <w:adjustRightInd w:val="0"/>
        <w:rPr>
          <w:rFonts w:cs="Arial"/>
          <w:noProof/>
          <w:sz w:val="17"/>
          <w:szCs w:val="17"/>
          <w:lang w:val="en-US"/>
        </w:rPr>
      </w:pPr>
      <w:r w:rsidRPr="00B01928">
        <w:rPr>
          <w:rFonts w:cs="Arial"/>
          <w:b/>
          <w:bCs/>
          <w:noProof/>
          <w:sz w:val="17"/>
          <w:szCs w:val="17"/>
          <w:lang w:val="en-GB"/>
        </w:rPr>
        <w:t>Background information on Messe Frankfurt</w:t>
      </w:r>
    </w:p>
    <w:p w14:paraId="2CA7E320" w14:textId="77777777" w:rsidR="0082430A" w:rsidRPr="00B01928" w:rsidRDefault="0082430A" w:rsidP="008320D8">
      <w:pPr>
        <w:rPr>
          <w:rFonts w:cs="Arial"/>
          <w:sz w:val="17"/>
          <w:szCs w:val="17"/>
          <w:lang w:val="en-US"/>
        </w:rPr>
      </w:pPr>
      <w:proofErr w:type="spellStart"/>
      <w:r w:rsidRPr="00B01928">
        <w:rPr>
          <w:rFonts w:cs="Arial"/>
          <w:sz w:val="17"/>
          <w:szCs w:val="17"/>
          <w:lang w:val="en-GB"/>
        </w:rPr>
        <w:t>Messe</w:t>
      </w:r>
      <w:proofErr w:type="spellEnd"/>
      <w:r w:rsidRPr="00B01928">
        <w:rPr>
          <w:rFonts w:cs="Arial"/>
          <w:sz w:val="17"/>
          <w:szCs w:val="17"/>
          <w:lang w:val="en-GB"/>
        </w:rPr>
        <w:t xml:space="preserve"> Frankfurt is the world’s largest trade fair, congress and event organiser with its own exhibition grounds. The </w:t>
      </w:r>
      <w:proofErr w:type="spellStart"/>
      <w:r w:rsidRPr="00B01928">
        <w:rPr>
          <w:rFonts w:cs="Arial"/>
          <w:sz w:val="17"/>
          <w:szCs w:val="17"/>
          <w:lang w:val="en-GB"/>
        </w:rPr>
        <w:t>Messe</w:t>
      </w:r>
      <w:proofErr w:type="spellEnd"/>
      <w:r w:rsidRPr="00B01928">
        <w:rPr>
          <w:rFonts w:cs="Arial"/>
          <w:sz w:val="17"/>
          <w:szCs w:val="17"/>
          <w:lang w:val="en-GB"/>
        </w:rPr>
        <w:t xml:space="preserve"> Frankfurt Group employs around 2,500* people in a total of 30 subsidiaries. The company generated annual sales of approximately €250* million in 2020 </w:t>
      </w:r>
      <w:r w:rsidRPr="00B01928">
        <w:rPr>
          <w:noProof/>
          <w:sz w:val="17"/>
          <w:szCs w:val="17"/>
          <w:lang w:val="en-GB"/>
        </w:rPr>
        <w:t>after having recorded sales of €738 million the previous year.</w:t>
      </w:r>
      <w:r w:rsidRPr="00B01928">
        <w:rPr>
          <w:rFonts w:cs="Arial"/>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FC1022A" w14:textId="77777777" w:rsidR="0082430A" w:rsidRPr="00B01928" w:rsidRDefault="0082430A" w:rsidP="008320D8">
      <w:pPr>
        <w:rPr>
          <w:rFonts w:cs="Arial"/>
          <w:sz w:val="17"/>
          <w:szCs w:val="17"/>
          <w:lang w:val="en-US"/>
        </w:rPr>
      </w:pPr>
      <w:r w:rsidRPr="00B01928">
        <w:rPr>
          <w:rFonts w:cs="Arial"/>
          <w:sz w:val="17"/>
          <w:szCs w:val="17"/>
          <w:lang w:val="en-GB"/>
        </w:rPr>
        <w:t xml:space="preserve">For more information, please visit our website at: </w:t>
      </w:r>
      <w:hyperlink r:id="rId10" w:history="1">
        <w:r w:rsidRPr="00B01928">
          <w:rPr>
            <w:sz w:val="17"/>
            <w:szCs w:val="17"/>
            <w:lang w:val="en-US"/>
          </w:rPr>
          <w:t>www.messefrankfurt.com</w:t>
        </w:r>
      </w:hyperlink>
    </w:p>
    <w:p w14:paraId="13AE5409" w14:textId="4B3C6547" w:rsidR="00705F10" w:rsidRPr="00B01928" w:rsidRDefault="0082430A" w:rsidP="008320D8">
      <w:pPr>
        <w:pStyle w:val="Kopfzeile"/>
        <w:tabs>
          <w:tab w:val="clear" w:pos="4819"/>
          <w:tab w:val="clear" w:pos="9071"/>
        </w:tabs>
        <w:spacing w:line="280" w:lineRule="atLeast"/>
        <w:rPr>
          <w:rFonts w:cs="Arial"/>
          <w:sz w:val="17"/>
          <w:szCs w:val="17"/>
        </w:rPr>
      </w:pPr>
      <w:r w:rsidRPr="00B01928">
        <w:rPr>
          <w:rFonts w:cs="Arial"/>
          <w:b/>
          <w:bCs/>
          <w:sz w:val="17"/>
          <w:szCs w:val="17"/>
          <w:lang w:val="en-GB"/>
        </w:rPr>
        <w:t xml:space="preserve">* </w:t>
      </w:r>
      <w:proofErr w:type="gramStart"/>
      <w:r w:rsidRPr="00B01928">
        <w:rPr>
          <w:rFonts w:cs="Arial"/>
          <w:sz w:val="17"/>
          <w:szCs w:val="17"/>
          <w:lang w:val="en-GB"/>
        </w:rPr>
        <w:t>preliminary</w:t>
      </w:r>
      <w:proofErr w:type="gramEnd"/>
      <w:r w:rsidRPr="00B01928">
        <w:rPr>
          <w:rFonts w:cs="Arial"/>
          <w:sz w:val="17"/>
          <w:szCs w:val="17"/>
          <w:lang w:val="en-GB"/>
        </w:rPr>
        <w:t xml:space="preserve"> figures 2020</w:t>
      </w:r>
    </w:p>
    <w:p w14:paraId="3557F615" w14:textId="77777777" w:rsidR="00391301" w:rsidRPr="00046E39" w:rsidRDefault="00391301" w:rsidP="00D81159">
      <w:pPr>
        <w:rPr>
          <w:rFonts w:cs="Arial"/>
          <w:color w:val="FF0000"/>
          <w:sz w:val="17"/>
          <w:szCs w:val="17"/>
        </w:rPr>
      </w:pPr>
    </w:p>
    <w:sectPr w:rsidR="00391301" w:rsidRPr="00046E39">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072A3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072A3D">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16BF25A3">
                <wp:simplePos x="0" y="0"/>
                <wp:positionH relativeFrom="page">
                  <wp:posOffset>4648200</wp:posOffset>
                </wp:positionH>
                <wp:positionV relativeFrom="page">
                  <wp:posOffset>688340</wp:posOffset>
                </wp:positionV>
                <wp:extent cx="1584000" cy="435135"/>
                <wp:effectExtent l="0" t="0" r="0"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4000" cy="435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14FC"/>
    <w:multiLevelType w:val="hybridMultilevel"/>
    <w:tmpl w:val="6F10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B44F54"/>
    <w:multiLevelType w:val="hybridMultilevel"/>
    <w:tmpl w:val="29ECCF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7B1787"/>
    <w:multiLevelType w:val="hybridMultilevel"/>
    <w:tmpl w:val="89EA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2A50AE"/>
    <w:multiLevelType w:val="hybridMultilevel"/>
    <w:tmpl w:val="376C9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712F35"/>
    <w:multiLevelType w:val="hybridMultilevel"/>
    <w:tmpl w:val="BFEC3314"/>
    <w:lvl w:ilvl="0" w:tplc="C23620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C97753"/>
    <w:multiLevelType w:val="hybridMultilevel"/>
    <w:tmpl w:val="FCEA2224"/>
    <w:lvl w:ilvl="0" w:tplc="D95EA0D8">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C31E87"/>
    <w:multiLevelType w:val="hybridMultilevel"/>
    <w:tmpl w:val="AEFEB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7D15DF"/>
    <w:multiLevelType w:val="hybridMultilevel"/>
    <w:tmpl w:val="01021710"/>
    <w:lvl w:ilvl="0" w:tplc="4E102A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8465B6"/>
    <w:multiLevelType w:val="hybridMultilevel"/>
    <w:tmpl w:val="6478A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316AF4"/>
    <w:multiLevelType w:val="hybridMultilevel"/>
    <w:tmpl w:val="CAB04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F5330E"/>
    <w:multiLevelType w:val="hybridMultilevel"/>
    <w:tmpl w:val="E3248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04724F"/>
    <w:multiLevelType w:val="hybridMultilevel"/>
    <w:tmpl w:val="34481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9"/>
  </w:num>
  <w:num w:numId="6">
    <w:abstractNumId w:val="4"/>
  </w:num>
  <w:num w:numId="7">
    <w:abstractNumId w:val="1"/>
  </w:num>
  <w:num w:numId="8">
    <w:abstractNumId w:val="3"/>
  </w:num>
  <w:num w:numId="9">
    <w:abstractNumId w:val="1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1578"/>
    <w:rsid w:val="00046E39"/>
    <w:rsid w:val="000723DC"/>
    <w:rsid w:val="00072A3D"/>
    <w:rsid w:val="000A0759"/>
    <w:rsid w:val="000A7AC4"/>
    <w:rsid w:val="000A7B1F"/>
    <w:rsid w:val="000C17DA"/>
    <w:rsid w:val="000C7BAB"/>
    <w:rsid w:val="000D1D30"/>
    <w:rsid w:val="000D2BC9"/>
    <w:rsid w:val="00114C13"/>
    <w:rsid w:val="00116782"/>
    <w:rsid w:val="00145290"/>
    <w:rsid w:val="00150BAF"/>
    <w:rsid w:val="001733C7"/>
    <w:rsid w:val="00173C77"/>
    <w:rsid w:val="00196CAC"/>
    <w:rsid w:val="001C1761"/>
    <w:rsid w:val="001C3CE3"/>
    <w:rsid w:val="001C7664"/>
    <w:rsid w:val="001F394D"/>
    <w:rsid w:val="002071FE"/>
    <w:rsid w:val="00242D39"/>
    <w:rsid w:val="0025027B"/>
    <w:rsid w:val="0026064D"/>
    <w:rsid w:val="0026303D"/>
    <w:rsid w:val="00263CD4"/>
    <w:rsid w:val="00283356"/>
    <w:rsid w:val="00290D98"/>
    <w:rsid w:val="002929FB"/>
    <w:rsid w:val="0029615B"/>
    <w:rsid w:val="002A018A"/>
    <w:rsid w:val="002C3BFC"/>
    <w:rsid w:val="002E3A34"/>
    <w:rsid w:val="002E4642"/>
    <w:rsid w:val="0030770A"/>
    <w:rsid w:val="003443ED"/>
    <w:rsid w:val="003517AF"/>
    <w:rsid w:val="00352435"/>
    <w:rsid w:val="00355B41"/>
    <w:rsid w:val="00391301"/>
    <w:rsid w:val="00395BC4"/>
    <w:rsid w:val="003A1ADA"/>
    <w:rsid w:val="003C3677"/>
    <w:rsid w:val="003C47F7"/>
    <w:rsid w:val="003E3D13"/>
    <w:rsid w:val="003F0285"/>
    <w:rsid w:val="003F5975"/>
    <w:rsid w:val="004140A0"/>
    <w:rsid w:val="004202FE"/>
    <w:rsid w:val="00430337"/>
    <w:rsid w:val="00447EAD"/>
    <w:rsid w:val="004623A7"/>
    <w:rsid w:val="00466E11"/>
    <w:rsid w:val="004A0358"/>
    <w:rsid w:val="004A62B5"/>
    <w:rsid w:val="004B1A42"/>
    <w:rsid w:val="004C003E"/>
    <w:rsid w:val="004C09D4"/>
    <w:rsid w:val="004C3C53"/>
    <w:rsid w:val="004D4FE3"/>
    <w:rsid w:val="00523172"/>
    <w:rsid w:val="00544F1E"/>
    <w:rsid w:val="00553786"/>
    <w:rsid w:val="00564030"/>
    <w:rsid w:val="00580E0B"/>
    <w:rsid w:val="00590B79"/>
    <w:rsid w:val="005C13EA"/>
    <w:rsid w:val="005C5717"/>
    <w:rsid w:val="005F071D"/>
    <w:rsid w:val="006031EC"/>
    <w:rsid w:val="0062777B"/>
    <w:rsid w:val="00647F98"/>
    <w:rsid w:val="0066135F"/>
    <w:rsid w:val="006679FA"/>
    <w:rsid w:val="00667D80"/>
    <w:rsid w:val="00695D58"/>
    <w:rsid w:val="006A0533"/>
    <w:rsid w:val="006B0680"/>
    <w:rsid w:val="006B28E2"/>
    <w:rsid w:val="006C7FBB"/>
    <w:rsid w:val="006D1D52"/>
    <w:rsid w:val="006D52FE"/>
    <w:rsid w:val="006D596C"/>
    <w:rsid w:val="006E512D"/>
    <w:rsid w:val="007031DE"/>
    <w:rsid w:val="00705F10"/>
    <w:rsid w:val="00707300"/>
    <w:rsid w:val="007111FE"/>
    <w:rsid w:val="0071302B"/>
    <w:rsid w:val="007407FD"/>
    <w:rsid w:val="00745BF5"/>
    <w:rsid w:val="00760765"/>
    <w:rsid w:val="0076695A"/>
    <w:rsid w:val="0078175D"/>
    <w:rsid w:val="007916D9"/>
    <w:rsid w:val="00791EBB"/>
    <w:rsid w:val="00795E67"/>
    <w:rsid w:val="007F0C77"/>
    <w:rsid w:val="00805639"/>
    <w:rsid w:val="0082430A"/>
    <w:rsid w:val="008320D8"/>
    <w:rsid w:val="00851A4F"/>
    <w:rsid w:val="008543A3"/>
    <w:rsid w:val="00857CEA"/>
    <w:rsid w:val="008A3432"/>
    <w:rsid w:val="008B7A9A"/>
    <w:rsid w:val="008C1336"/>
    <w:rsid w:val="00921FF1"/>
    <w:rsid w:val="009369B8"/>
    <w:rsid w:val="009538E3"/>
    <w:rsid w:val="009B0EDE"/>
    <w:rsid w:val="009C34B8"/>
    <w:rsid w:val="009C4D81"/>
    <w:rsid w:val="009E759F"/>
    <w:rsid w:val="00A10E07"/>
    <w:rsid w:val="00A159F9"/>
    <w:rsid w:val="00A303F4"/>
    <w:rsid w:val="00A40921"/>
    <w:rsid w:val="00A51A90"/>
    <w:rsid w:val="00A735A2"/>
    <w:rsid w:val="00A752FA"/>
    <w:rsid w:val="00A85EBA"/>
    <w:rsid w:val="00A92CDC"/>
    <w:rsid w:val="00AA185B"/>
    <w:rsid w:val="00AC15CE"/>
    <w:rsid w:val="00AC19E1"/>
    <w:rsid w:val="00AD00A5"/>
    <w:rsid w:val="00AF6561"/>
    <w:rsid w:val="00B01928"/>
    <w:rsid w:val="00B05296"/>
    <w:rsid w:val="00B134A3"/>
    <w:rsid w:val="00B27315"/>
    <w:rsid w:val="00B3193C"/>
    <w:rsid w:val="00B348BA"/>
    <w:rsid w:val="00B44D45"/>
    <w:rsid w:val="00B627C2"/>
    <w:rsid w:val="00B62BEB"/>
    <w:rsid w:val="00B70F7D"/>
    <w:rsid w:val="00B86F84"/>
    <w:rsid w:val="00B87009"/>
    <w:rsid w:val="00B947BA"/>
    <w:rsid w:val="00BD2040"/>
    <w:rsid w:val="00BF3BDF"/>
    <w:rsid w:val="00BF7A59"/>
    <w:rsid w:val="00C025B5"/>
    <w:rsid w:val="00C41057"/>
    <w:rsid w:val="00C513EA"/>
    <w:rsid w:val="00C97791"/>
    <w:rsid w:val="00CA7F4A"/>
    <w:rsid w:val="00CB69EE"/>
    <w:rsid w:val="00D362FB"/>
    <w:rsid w:val="00D52B54"/>
    <w:rsid w:val="00D81159"/>
    <w:rsid w:val="00D92903"/>
    <w:rsid w:val="00DA0BE2"/>
    <w:rsid w:val="00DB1C4E"/>
    <w:rsid w:val="00DB56B1"/>
    <w:rsid w:val="00DC4397"/>
    <w:rsid w:val="00DE4837"/>
    <w:rsid w:val="00DF6851"/>
    <w:rsid w:val="00E05D0E"/>
    <w:rsid w:val="00E20196"/>
    <w:rsid w:val="00E21086"/>
    <w:rsid w:val="00E229D9"/>
    <w:rsid w:val="00E27390"/>
    <w:rsid w:val="00E509A4"/>
    <w:rsid w:val="00E64848"/>
    <w:rsid w:val="00E66BEA"/>
    <w:rsid w:val="00E73DE0"/>
    <w:rsid w:val="00E81489"/>
    <w:rsid w:val="00E975B1"/>
    <w:rsid w:val="00EA3FAF"/>
    <w:rsid w:val="00EB302D"/>
    <w:rsid w:val="00ED1F74"/>
    <w:rsid w:val="00ED413B"/>
    <w:rsid w:val="00EE3C8A"/>
    <w:rsid w:val="00EE7552"/>
    <w:rsid w:val="00EE7C97"/>
    <w:rsid w:val="00F118C6"/>
    <w:rsid w:val="00F3650F"/>
    <w:rsid w:val="00F457A0"/>
    <w:rsid w:val="00F54FD6"/>
    <w:rsid w:val="00F63F5D"/>
    <w:rsid w:val="00F80444"/>
    <w:rsid w:val="00F86A43"/>
    <w:rsid w:val="00F87E91"/>
    <w:rsid w:val="00F91D88"/>
    <w:rsid w:val="00FA5948"/>
    <w:rsid w:val="00FD3B8C"/>
    <w:rsid w:val="00FE23FC"/>
    <w:rsid w:val="00FF59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62777B"/>
    <w:pPr>
      <w:ind w:left="720"/>
      <w:contextualSpacing/>
    </w:pPr>
  </w:style>
  <w:style w:type="character" w:styleId="Kommentarzeichen">
    <w:name w:val="annotation reference"/>
    <w:basedOn w:val="Absatz-Standardschriftart"/>
    <w:uiPriority w:val="99"/>
    <w:unhideWhenUsed/>
    <w:rsid w:val="0062777B"/>
    <w:rPr>
      <w:sz w:val="16"/>
      <w:szCs w:val="16"/>
    </w:rPr>
  </w:style>
  <w:style w:type="paragraph" w:styleId="Kommentartext">
    <w:name w:val="annotation text"/>
    <w:basedOn w:val="Standard"/>
    <w:link w:val="KommentartextZchn"/>
    <w:semiHidden/>
    <w:unhideWhenUsed/>
    <w:rsid w:val="0062777B"/>
    <w:pPr>
      <w:spacing w:line="240" w:lineRule="auto"/>
    </w:pPr>
    <w:rPr>
      <w:sz w:val="20"/>
    </w:rPr>
  </w:style>
  <w:style w:type="character" w:customStyle="1" w:styleId="KommentartextZchn">
    <w:name w:val="Kommentartext Zchn"/>
    <w:basedOn w:val="Absatz-Standardschriftart"/>
    <w:link w:val="Kommentartext"/>
    <w:semiHidden/>
    <w:rsid w:val="0062777B"/>
    <w:rPr>
      <w:rFonts w:ascii="Arial" w:hAnsi="Arial"/>
    </w:rPr>
  </w:style>
  <w:style w:type="paragraph" w:styleId="Kommentarthema">
    <w:name w:val="annotation subject"/>
    <w:basedOn w:val="Kommentartext"/>
    <w:next w:val="Kommentartext"/>
    <w:link w:val="KommentarthemaZchn"/>
    <w:semiHidden/>
    <w:unhideWhenUsed/>
    <w:rsid w:val="00A735A2"/>
    <w:rPr>
      <w:b/>
      <w:bCs/>
    </w:rPr>
  </w:style>
  <w:style w:type="character" w:customStyle="1" w:styleId="KommentarthemaZchn">
    <w:name w:val="Kommentarthema Zchn"/>
    <w:basedOn w:val="KommentartextZchn"/>
    <w:link w:val="Kommentarthema"/>
    <w:semiHidden/>
    <w:rsid w:val="00A735A2"/>
    <w:rPr>
      <w:rFonts w:ascii="Arial" w:hAnsi="Arial"/>
      <w:b/>
      <w:bCs/>
    </w:rPr>
  </w:style>
  <w:style w:type="paragraph" w:customStyle="1" w:styleId="Default">
    <w:name w:val="Default"/>
    <w:rsid w:val="00EA3FAF"/>
    <w:pPr>
      <w:autoSpaceDE w:val="0"/>
      <w:autoSpaceDN w:val="0"/>
      <w:adjustRightInd w:val="0"/>
    </w:pPr>
    <w:rPr>
      <w:rFonts w:ascii="Arial" w:hAnsi="Arial" w:cs="Arial"/>
      <w:color w:val="000000"/>
      <w:sz w:val="24"/>
      <w:szCs w:val="24"/>
    </w:rPr>
  </w:style>
  <w:style w:type="character" w:customStyle="1" w:styleId="collapsibletrigger">
    <w:name w:val="collapsible__trigger"/>
    <w:basedOn w:val="Absatz-Standardschriftart"/>
    <w:rsid w:val="002C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409">
      <w:bodyDiv w:val="1"/>
      <w:marLeft w:val="0"/>
      <w:marRight w:val="0"/>
      <w:marTop w:val="0"/>
      <w:marBottom w:val="0"/>
      <w:divBdr>
        <w:top w:val="none" w:sz="0" w:space="0" w:color="auto"/>
        <w:left w:val="none" w:sz="0" w:space="0" w:color="auto"/>
        <w:bottom w:val="none" w:sz="0" w:space="0" w:color="auto"/>
        <w:right w:val="none" w:sz="0" w:space="0" w:color="auto"/>
      </w:divBdr>
    </w:div>
    <w:div w:id="249854890">
      <w:bodyDiv w:val="1"/>
      <w:marLeft w:val="0"/>
      <w:marRight w:val="0"/>
      <w:marTop w:val="0"/>
      <w:marBottom w:val="0"/>
      <w:divBdr>
        <w:top w:val="none" w:sz="0" w:space="0" w:color="auto"/>
        <w:left w:val="none" w:sz="0" w:space="0" w:color="auto"/>
        <w:bottom w:val="none" w:sz="0" w:space="0" w:color="auto"/>
        <w:right w:val="none" w:sz="0" w:space="0" w:color="auto"/>
      </w:divBdr>
    </w:div>
    <w:div w:id="558826347">
      <w:bodyDiv w:val="1"/>
      <w:marLeft w:val="0"/>
      <w:marRight w:val="0"/>
      <w:marTop w:val="0"/>
      <w:marBottom w:val="0"/>
      <w:divBdr>
        <w:top w:val="none" w:sz="0" w:space="0" w:color="auto"/>
        <w:left w:val="none" w:sz="0" w:space="0" w:color="auto"/>
        <w:bottom w:val="none" w:sz="0" w:space="0" w:color="auto"/>
        <w:right w:val="none" w:sz="0" w:space="0" w:color="auto"/>
      </w:divBdr>
      <w:divsChild>
        <w:div w:id="2062483700">
          <w:marLeft w:val="0"/>
          <w:marRight w:val="0"/>
          <w:marTop w:val="0"/>
          <w:marBottom w:val="0"/>
          <w:divBdr>
            <w:top w:val="none" w:sz="0" w:space="0" w:color="auto"/>
            <w:left w:val="none" w:sz="0" w:space="0" w:color="auto"/>
            <w:bottom w:val="none" w:sz="0" w:space="0" w:color="auto"/>
            <w:right w:val="none" w:sz="0" w:space="0" w:color="auto"/>
          </w:divBdr>
          <w:divsChild>
            <w:div w:id="1075863131">
              <w:marLeft w:val="0"/>
              <w:marRight w:val="0"/>
              <w:marTop w:val="0"/>
              <w:marBottom w:val="0"/>
              <w:divBdr>
                <w:top w:val="none" w:sz="0" w:space="0" w:color="auto"/>
                <w:left w:val="none" w:sz="0" w:space="0" w:color="auto"/>
                <w:bottom w:val="none" w:sz="0" w:space="0" w:color="auto"/>
                <w:right w:val="none" w:sz="0" w:space="0" w:color="auto"/>
              </w:divBdr>
              <w:divsChild>
                <w:div w:id="1208496587">
                  <w:marLeft w:val="0"/>
                  <w:marRight w:val="0"/>
                  <w:marTop w:val="0"/>
                  <w:marBottom w:val="0"/>
                  <w:divBdr>
                    <w:top w:val="none" w:sz="0" w:space="0" w:color="auto"/>
                    <w:left w:val="none" w:sz="0" w:space="0" w:color="auto"/>
                    <w:bottom w:val="none" w:sz="0" w:space="0" w:color="auto"/>
                    <w:right w:val="none" w:sz="0" w:space="0" w:color="auto"/>
                  </w:divBdr>
                  <w:divsChild>
                    <w:div w:id="1543518033">
                      <w:marLeft w:val="0"/>
                      <w:marRight w:val="0"/>
                      <w:marTop w:val="0"/>
                      <w:marBottom w:val="0"/>
                      <w:divBdr>
                        <w:top w:val="none" w:sz="0" w:space="0" w:color="auto"/>
                        <w:left w:val="none" w:sz="0" w:space="0" w:color="auto"/>
                        <w:bottom w:val="none" w:sz="0" w:space="0" w:color="auto"/>
                        <w:right w:val="none" w:sz="0" w:space="0" w:color="auto"/>
                      </w:divBdr>
                      <w:divsChild>
                        <w:div w:id="1527477245">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
                            <w:div w:id="1625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5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2115056984">
      <w:bodyDiv w:val="1"/>
      <w:marLeft w:val="0"/>
      <w:marRight w:val="0"/>
      <w:marTop w:val="0"/>
      <w:marBottom w:val="0"/>
      <w:divBdr>
        <w:top w:val="none" w:sz="0" w:space="0" w:color="auto"/>
        <w:left w:val="none" w:sz="0" w:space="0" w:color="auto"/>
        <w:bottom w:val="none" w:sz="0" w:space="0" w:color="auto"/>
        <w:right w:val="none" w:sz="0" w:space="0" w:color="auto"/>
      </w:divBdr>
      <w:divsChild>
        <w:div w:id="12716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E861-8547-44DF-8AF0-6F3A7EA4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4405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57</cp:revision>
  <cp:lastPrinted>2020-11-23T14:07:00Z</cp:lastPrinted>
  <dcterms:created xsi:type="dcterms:W3CDTF">2021-02-16T13:31:00Z</dcterms:created>
  <dcterms:modified xsi:type="dcterms:W3CDTF">2021-06-09T08:12:00Z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