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46086F">
        <w:trPr>
          <w:trHeight w:hRule="exact" w:val="880"/>
        </w:trPr>
        <w:tc>
          <w:tcPr>
            <w:tcW w:w="7348" w:type="dxa"/>
          </w:tcPr>
          <w:p w14:paraId="61422EE1" w14:textId="288C505F" w:rsidR="00ED1F74" w:rsidRPr="00DE518E" w:rsidRDefault="00234E2D" w:rsidP="00E52C2E">
            <w:pPr>
              <w:pStyle w:val="berschrift1"/>
              <w:ind w:left="0"/>
              <w:rPr>
                <w:lang w:val="en-US"/>
              </w:rPr>
            </w:pPr>
            <w:r>
              <w:rPr>
                <w:b/>
                <w:sz w:val="22"/>
                <w:szCs w:val="22"/>
                <w:lang w:val="en-US"/>
              </w:rPr>
              <w:softHyphen/>
            </w:r>
            <w:r w:rsidR="00DE518E" w:rsidRPr="00DE518E">
              <w:rPr>
                <w:b/>
                <w:sz w:val="22"/>
                <w:szCs w:val="22"/>
                <w:lang w:val="en-US"/>
              </w:rPr>
              <w:t>Pressemitteilung</w:t>
            </w:r>
          </w:p>
        </w:tc>
        <w:tc>
          <w:tcPr>
            <w:tcW w:w="2999" w:type="dxa"/>
            <w:shd w:val="clear" w:color="auto" w:fill="FFFFFF" w:themeFill="background1"/>
          </w:tcPr>
          <w:p w14:paraId="430D5AE9" w14:textId="159C4A8E" w:rsidR="00ED1F74" w:rsidRDefault="0046086F" w:rsidP="00EE6385">
            <w:pPr>
              <w:pStyle w:val="Kopfzeile"/>
              <w:tabs>
                <w:tab w:val="clear" w:pos="4819"/>
                <w:tab w:val="clear" w:pos="9071"/>
                <w:tab w:val="left" w:pos="1559"/>
              </w:tabs>
              <w:spacing w:before="220" w:line="250" w:lineRule="exact"/>
              <w:ind w:right="569"/>
              <w:rPr>
                <w:noProof/>
                <w:szCs w:val="22"/>
                <w:lang w:val="en-US"/>
              </w:rPr>
            </w:pPr>
            <w:bookmarkStart w:id="0" w:name="Vdatum"/>
            <w:bookmarkEnd w:id="0"/>
            <w:r w:rsidRPr="0046086F">
              <w:rPr>
                <w:noProof/>
                <w:szCs w:val="22"/>
                <w:lang w:val="en-US"/>
              </w:rPr>
              <w:t>03</w:t>
            </w:r>
            <w:r w:rsidR="00D6408C" w:rsidRPr="0046086F">
              <w:rPr>
                <w:noProof/>
                <w:szCs w:val="22"/>
                <w:lang w:val="en-US"/>
              </w:rPr>
              <w:t>.</w:t>
            </w:r>
            <w:r w:rsidRPr="0046086F">
              <w:rPr>
                <w:noProof/>
                <w:szCs w:val="22"/>
                <w:lang w:val="en-US"/>
              </w:rPr>
              <w:t>11</w:t>
            </w:r>
            <w:r w:rsidR="00D6408C" w:rsidRPr="0046086F">
              <w:rPr>
                <w:noProof/>
                <w:szCs w:val="22"/>
                <w:lang w:val="en-US"/>
              </w:rPr>
              <w:t>.2020</w:t>
            </w:r>
          </w:p>
        </w:tc>
      </w:tr>
      <w:tr w:rsidR="00ED1F74" w:rsidRPr="00CF6F85" w14:paraId="4BCE48E6" w14:textId="77777777" w:rsidTr="00234E2D">
        <w:trPr>
          <w:trHeight w:val="1552"/>
        </w:trPr>
        <w:tc>
          <w:tcPr>
            <w:tcW w:w="7348" w:type="dxa"/>
            <w:tcMar>
              <w:top w:w="0" w:type="dxa"/>
            </w:tcMar>
          </w:tcPr>
          <w:p w14:paraId="3DB9A528" w14:textId="6E11191B" w:rsidR="00D362FB" w:rsidRDefault="00D6408C">
            <w:pPr>
              <w:spacing w:line="280" w:lineRule="atLeast"/>
              <w:rPr>
                <w:rFonts w:cs="Arial"/>
                <w:sz w:val="36"/>
                <w:szCs w:val="36"/>
              </w:rPr>
            </w:pPr>
            <w:bookmarkStart w:id="1" w:name="Thema1"/>
            <w:bookmarkStart w:id="2" w:name="Thema2"/>
            <w:bookmarkEnd w:id="1"/>
            <w:bookmarkEnd w:id="2"/>
            <w:r w:rsidRPr="006D7AD2">
              <w:rPr>
                <w:rFonts w:cs="Arial"/>
                <w:sz w:val="36"/>
                <w:szCs w:val="36"/>
              </w:rPr>
              <w:t>„Power &amp; Beyond“</w:t>
            </w:r>
            <w:r w:rsidR="00984C5A">
              <w:rPr>
                <w:rFonts w:cs="Arial"/>
                <w:sz w:val="36"/>
                <w:szCs w:val="36"/>
              </w:rPr>
              <w:t>:</w:t>
            </w:r>
            <w:r w:rsidRPr="006D7AD2">
              <w:rPr>
                <w:rFonts w:cs="Arial"/>
                <w:sz w:val="36"/>
                <w:szCs w:val="36"/>
              </w:rPr>
              <w:t xml:space="preserve"> Online-Plattform für Leistungselektronik</w:t>
            </w:r>
            <w:r>
              <w:rPr>
                <w:rFonts w:cs="Arial"/>
                <w:sz w:val="36"/>
                <w:szCs w:val="36"/>
              </w:rPr>
              <w:t xml:space="preserve"> knackt die 10.000-er Marke </w:t>
            </w:r>
          </w:p>
          <w:p w14:paraId="1D8AE18B" w14:textId="41FA6320" w:rsidR="00D6408C" w:rsidRPr="00CF6F85" w:rsidRDefault="00D6408C">
            <w:pPr>
              <w:spacing w:line="280" w:lineRule="atLeast"/>
              <w:rPr>
                <w:noProof/>
              </w:rPr>
            </w:pPr>
          </w:p>
        </w:tc>
        <w:tc>
          <w:tcPr>
            <w:tcW w:w="2999" w:type="dxa"/>
            <w:tcMar>
              <w:top w:w="0" w:type="dxa"/>
            </w:tcMar>
          </w:tcPr>
          <w:p w14:paraId="218D8855" w14:textId="77777777" w:rsidR="00EE6385" w:rsidRDefault="00EE6385" w:rsidP="00B17944">
            <w:pPr>
              <w:spacing w:line="200" w:lineRule="exact"/>
              <w:rPr>
                <w:rFonts w:cs="Arial"/>
                <w:sz w:val="15"/>
                <w:szCs w:val="15"/>
                <w:lang w:val="en-US"/>
              </w:rPr>
            </w:pPr>
            <w:bookmarkStart w:id="3" w:name="Vmeinname"/>
            <w:bookmarkEnd w:id="3"/>
            <w:r w:rsidRPr="00EE6385">
              <w:rPr>
                <w:rFonts w:cs="Arial"/>
                <w:sz w:val="15"/>
                <w:szCs w:val="15"/>
                <w:lang w:val="en-US"/>
              </w:rPr>
              <w:t>Bernhard Ruess</w:t>
            </w:r>
          </w:p>
          <w:p w14:paraId="0928FD21" w14:textId="085FEA66" w:rsidR="00B17944" w:rsidRPr="00C82C3A" w:rsidRDefault="00B17944" w:rsidP="00B17944">
            <w:pPr>
              <w:spacing w:line="200" w:lineRule="exact"/>
              <w:rPr>
                <w:rFonts w:cs="Arial"/>
                <w:sz w:val="15"/>
                <w:szCs w:val="15"/>
                <w:lang w:val="en-US"/>
              </w:rPr>
            </w:pPr>
            <w:r w:rsidRPr="00C82C3A">
              <w:rPr>
                <w:rFonts w:cs="Arial"/>
                <w:sz w:val="15"/>
                <w:szCs w:val="15"/>
                <w:lang w:val="en-US"/>
              </w:rPr>
              <w:t>Tel. +49 711 61946-</w:t>
            </w:r>
            <w:r w:rsidR="00EE6385">
              <w:rPr>
                <w:rFonts w:cs="Arial"/>
                <w:sz w:val="15"/>
                <w:szCs w:val="15"/>
                <w:lang w:val="en-US"/>
              </w:rPr>
              <w:t>76</w:t>
            </w:r>
          </w:p>
          <w:p w14:paraId="04839835" w14:textId="3482BBD3" w:rsidR="00B17944" w:rsidRPr="00C82C3A" w:rsidRDefault="006B1E68" w:rsidP="00B17944">
            <w:pPr>
              <w:spacing w:line="200" w:lineRule="exact"/>
              <w:rPr>
                <w:rFonts w:cs="Arial"/>
                <w:sz w:val="15"/>
                <w:szCs w:val="15"/>
                <w:lang w:val="en-US"/>
              </w:rPr>
            </w:pPr>
            <w:r>
              <w:rPr>
                <w:rFonts w:cs="Arial"/>
                <w:sz w:val="15"/>
                <w:szCs w:val="15"/>
                <w:lang w:val="en-US"/>
              </w:rPr>
              <w:t>Bernhard.ruess</w:t>
            </w:r>
            <w:r w:rsidR="00B17944" w:rsidRPr="00C82C3A">
              <w:rPr>
                <w:rFonts w:cs="Arial"/>
                <w:sz w:val="15"/>
                <w:szCs w:val="15"/>
                <w:lang w:val="en-US"/>
              </w:rPr>
              <w:t>@mesago.com</w:t>
            </w:r>
          </w:p>
          <w:p w14:paraId="320D9CD4" w14:textId="50325F4F" w:rsidR="00AC19E1" w:rsidRPr="00CF6F85" w:rsidRDefault="002E122E" w:rsidP="00AC19E1">
            <w:pPr>
              <w:spacing w:line="200" w:lineRule="exact"/>
              <w:rPr>
                <w:rFonts w:cs="Arial"/>
                <w:sz w:val="15"/>
                <w:szCs w:val="15"/>
                <w:lang w:val="en-US"/>
              </w:rPr>
            </w:pPr>
            <w:hyperlink r:id="rId8" w:history="1">
              <w:r w:rsidR="00AC19E1" w:rsidRPr="00CF6F85">
                <w:rPr>
                  <w:sz w:val="15"/>
                  <w:szCs w:val="15"/>
                  <w:lang w:val="en-US"/>
                </w:rPr>
                <w:t>mesago.de</w:t>
              </w:r>
            </w:hyperlink>
          </w:p>
          <w:p w14:paraId="572B3FCC" w14:textId="77777777" w:rsidR="00AC19E1" w:rsidRPr="00CF6F85" w:rsidRDefault="00AC19E1" w:rsidP="00AC19E1">
            <w:pPr>
              <w:spacing w:line="200" w:lineRule="exact"/>
              <w:rPr>
                <w:rFonts w:cs="Arial"/>
                <w:sz w:val="15"/>
                <w:szCs w:val="15"/>
                <w:lang w:val="en-US"/>
              </w:rPr>
            </w:pPr>
          </w:p>
          <w:p w14:paraId="62B4C3F4" w14:textId="77777777" w:rsidR="00ED1F74" w:rsidRDefault="00ED1F74" w:rsidP="00CF6F85">
            <w:pPr>
              <w:spacing w:line="200" w:lineRule="exact"/>
              <w:rPr>
                <w:szCs w:val="22"/>
                <w:lang w:val="en-US"/>
              </w:rPr>
            </w:pPr>
          </w:p>
        </w:tc>
      </w:tr>
    </w:tbl>
    <w:p w14:paraId="15B39973" w14:textId="54FA9DD8" w:rsidR="00D6408C" w:rsidRDefault="00D6408C" w:rsidP="00D6408C">
      <w:pPr>
        <w:spacing w:line="280" w:lineRule="atLeast"/>
        <w:rPr>
          <w:rFonts w:cs="Arial"/>
          <w:b/>
          <w:szCs w:val="22"/>
        </w:rPr>
      </w:pPr>
      <w:bookmarkStart w:id="4" w:name="V_head1"/>
      <w:bookmarkEnd w:id="4"/>
      <w:r>
        <w:rPr>
          <w:rFonts w:cs="Arial"/>
          <w:b/>
          <w:szCs w:val="22"/>
        </w:rPr>
        <w:t>Seit dem Launch im</w:t>
      </w:r>
      <w:r w:rsidRPr="00CD724D">
        <w:rPr>
          <w:rFonts w:cs="Arial"/>
          <w:b/>
          <w:szCs w:val="22"/>
        </w:rPr>
        <w:t xml:space="preserve"> Januar 2020 hat die 24/7-Informationsplattform für die Leistungselektronik einen erfolgreichen Start hingelegt.</w:t>
      </w:r>
      <w:r>
        <w:rPr>
          <w:rFonts w:cs="Arial"/>
          <w:b/>
          <w:szCs w:val="22"/>
        </w:rPr>
        <w:t xml:space="preserve"> Die Abonnentenzahlen steigen in einem enormen Wachstum. </w:t>
      </w:r>
      <w:r w:rsidR="006259FB">
        <w:rPr>
          <w:rFonts w:cs="Arial"/>
          <w:b/>
          <w:szCs w:val="22"/>
        </w:rPr>
        <w:t>Gerade erst</w:t>
      </w:r>
      <w:r w:rsidR="00984C5A">
        <w:rPr>
          <w:rFonts w:cs="Arial"/>
          <w:b/>
          <w:szCs w:val="22"/>
        </w:rPr>
        <w:t xml:space="preserve"> </w:t>
      </w:r>
      <w:r>
        <w:rPr>
          <w:rFonts w:cs="Arial"/>
          <w:b/>
          <w:szCs w:val="22"/>
        </w:rPr>
        <w:t>ist die Anzahl der Newsletter-</w:t>
      </w:r>
      <w:r w:rsidRPr="00876DDD">
        <w:rPr>
          <w:rFonts w:cs="Arial"/>
          <w:b/>
          <w:szCs w:val="22"/>
        </w:rPr>
        <w:t>Abonnenten</w:t>
      </w:r>
      <w:r>
        <w:rPr>
          <w:rFonts w:cs="Arial"/>
          <w:b/>
          <w:szCs w:val="22"/>
        </w:rPr>
        <w:t xml:space="preserve"> auf über 10.000 gestiegen und</w:t>
      </w:r>
      <w:r w:rsidR="00CB7EF1">
        <w:rPr>
          <w:rFonts w:cs="Arial"/>
          <w:b/>
          <w:szCs w:val="22"/>
        </w:rPr>
        <w:t xml:space="preserve"> </w:t>
      </w:r>
      <w:r w:rsidR="00984C5A">
        <w:rPr>
          <w:rFonts w:cs="Arial"/>
          <w:b/>
          <w:szCs w:val="22"/>
        </w:rPr>
        <w:t>„</w:t>
      </w:r>
      <w:r w:rsidR="00CB7EF1">
        <w:rPr>
          <w:rFonts w:cs="Arial"/>
          <w:b/>
          <w:szCs w:val="22"/>
        </w:rPr>
        <w:t>Power &amp; Beyond</w:t>
      </w:r>
      <w:r w:rsidR="00984C5A">
        <w:rPr>
          <w:rFonts w:cs="Arial"/>
          <w:b/>
          <w:szCs w:val="22"/>
        </w:rPr>
        <w:t>“</w:t>
      </w:r>
      <w:r>
        <w:rPr>
          <w:rFonts w:cs="Arial"/>
          <w:b/>
          <w:szCs w:val="22"/>
        </w:rPr>
        <w:t xml:space="preserve"> erreicht weltweit rund 100.000 Unique User.</w:t>
      </w:r>
    </w:p>
    <w:p w14:paraId="541D2BF3" w14:textId="77777777" w:rsidR="00DE518E" w:rsidRPr="00DE518E" w:rsidRDefault="00DE518E" w:rsidP="00DE518E">
      <w:pPr>
        <w:spacing w:line="280" w:lineRule="atLeast"/>
        <w:rPr>
          <w:rFonts w:cs="Arial"/>
          <w:b/>
          <w:szCs w:val="22"/>
        </w:rPr>
      </w:pPr>
    </w:p>
    <w:p w14:paraId="7135085B" w14:textId="6381812B" w:rsidR="00D6408C" w:rsidRPr="008510E1" w:rsidRDefault="00536847" w:rsidP="00D6408C">
      <w:pPr>
        <w:spacing w:line="250" w:lineRule="exact"/>
        <w:rPr>
          <w:rFonts w:cs="Arial"/>
          <w:szCs w:val="22"/>
        </w:rPr>
      </w:pPr>
      <w:r w:rsidRPr="005E15F6">
        <w:rPr>
          <w:rFonts w:cs="Arial"/>
          <w:szCs w:val="22"/>
        </w:rPr>
        <w:t xml:space="preserve">Die Power &amp; Beyond </w:t>
      </w:r>
      <w:r w:rsidR="00DC6715" w:rsidRPr="005E15F6">
        <w:rPr>
          <w:rFonts w:cs="Arial"/>
          <w:szCs w:val="22"/>
        </w:rPr>
        <w:t xml:space="preserve">greift die Themen der </w:t>
      </w:r>
      <w:r w:rsidR="009F58A4" w:rsidRPr="005E15F6">
        <w:rPr>
          <w:rFonts w:cs="Arial"/>
          <w:szCs w:val="22"/>
        </w:rPr>
        <w:t xml:space="preserve">internationalen </w:t>
      </w:r>
      <w:r w:rsidR="00DC6715" w:rsidRPr="005E15F6">
        <w:rPr>
          <w:rFonts w:cs="Arial"/>
          <w:szCs w:val="22"/>
        </w:rPr>
        <w:t xml:space="preserve">PCIM Europe Fachmesse und Konferenz als </w:t>
      </w:r>
      <w:r w:rsidRPr="005E15F6">
        <w:rPr>
          <w:rFonts w:cs="Arial"/>
          <w:szCs w:val="22"/>
        </w:rPr>
        <w:t xml:space="preserve">digitale Erweiterung </w:t>
      </w:r>
      <w:r w:rsidR="00DC6715" w:rsidRPr="005E15F6">
        <w:rPr>
          <w:rFonts w:cs="Arial"/>
          <w:szCs w:val="22"/>
        </w:rPr>
        <w:t>auf</w:t>
      </w:r>
      <w:r w:rsidRPr="005E15F6">
        <w:rPr>
          <w:rFonts w:cs="Arial"/>
          <w:szCs w:val="22"/>
        </w:rPr>
        <w:t xml:space="preserve"> und hat sich i</w:t>
      </w:r>
      <w:r w:rsidR="00D6408C" w:rsidRPr="005E15F6">
        <w:rPr>
          <w:rFonts w:cs="Arial"/>
          <w:szCs w:val="22"/>
        </w:rPr>
        <w:t xml:space="preserve">nnerhalb weniger Monate erfolgreich als </w:t>
      </w:r>
      <w:proofErr w:type="spellStart"/>
      <w:r w:rsidR="00C8099E" w:rsidRPr="005E15F6">
        <w:rPr>
          <w:rFonts w:cs="Arial"/>
          <w:szCs w:val="22"/>
        </w:rPr>
        <w:t>Contentplattform</w:t>
      </w:r>
      <w:proofErr w:type="spellEnd"/>
      <w:r w:rsidR="00D6408C" w:rsidRPr="005E15F6">
        <w:rPr>
          <w:rFonts w:cs="Arial"/>
          <w:szCs w:val="22"/>
        </w:rPr>
        <w:t xml:space="preserve"> etabliert. Das</w:t>
      </w:r>
      <w:r w:rsidR="00D6408C" w:rsidRPr="000C453A">
        <w:rPr>
          <w:rFonts w:cs="Arial"/>
          <w:szCs w:val="22"/>
        </w:rPr>
        <w:t xml:space="preserve"> zunehmende Interesse </w:t>
      </w:r>
      <w:r w:rsidR="00AC5308" w:rsidRPr="000C453A">
        <w:rPr>
          <w:rFonts w:cs="Arial"/>
          <w:szCs w:val="22"/>
        </w:rPr>
        <w:t xml:space="preserve">an dem ganzjährigen Angebot </w:t>
      </w:r>
      <w:r w:rsidR="00D6408C" w:rsidRPr="000C453A">
        <w:rPr>
          <w:rFonts w:cs="Arial"/>
          <w:szCs w:val="22"/>
        </w:rPr>
        <w:t>zeigt den Bedarf</w:t>
      </w:r>
      <w:r w:rsidR="00D6408C">
        <w:rPr>
          <w:rFonts w:cs="Arial"/>
          <w:szCs w:val="22"/>
        </w:rPr>
        <w:t xml:space="preserve"> aller Anwenderbranchen an neuesten Erkenntnissen und Fachinformationen in Themenbereichen, </w:t>
      </w:r>
      <w:r w:rsidR="00D6408C" w:rsidRPr="003C5813">
        <w:rPr>
          <w:rFonts w:cs="Arial"/>
          <w:szCs w:val="22"/>
        </w:rPr>
        <w:t xml:space="preserve">wie </w:t>
      </w:r>
      <w:proofErr w:type="spellStart"/>
      <w:r w:rsidR="00D6408C" w:rsidRPr="003C5813">
        <w:rPr>
          <w:rFonts w:cs="Arial"/>
          <w:color w:val="000000"/>
          <w:szCs w:val="22"/>
        </w:rPr>
        <w:t>SiC</w:t>
      </w:r>
      <w:proofErr w:type="spellEnd"/>
      <w:r w:rsidR="00D6408C" w:rsidRPr="003C5813">
        <w:rPr>
          <w:rFonts w:cs="Arial"/>
          <w:color w:val="000000"/>
          <w:szCs w:val="22"/>
        </w:rPr>
        <w:t xml:space="preserve"> und </w:t>
      </w:r>
      <w:proofErr w:type="spellStart"/>
      <w:r w:rsidR="00D6408C" w:rsidRPr="003C5813">
        <w:rPr>
          <w:rFonts w:cs="Arial"/>
          <w:color w:val="000000"/>
          <w:szCs w:val="22"/>
        </w:rPr>
        <w:t>GaN</w:t>
      </w:r>
      <w:proofErr w:type="spellEnd"/>
      <w:r w:rsidR="00D6408C" w:rsidRPr="003C5813">
        <w:rPr>
          <w:rFonts w:cs="Arial"/>
          <w:color w:val="000000"/>
          <w:szCs w:val="22"/>
        </w:rPr>
        <w:t>, Energiespeichersystemen und Elektromobilität.</w:t>
      </w:r>
      <w:r w:rsidR="00D6408C">
        <w:rPr>
          <w:rFonts w:cs="Arial"/>
          <w:szCs w:val="22"/>
        </w:rPr>
        <w:t xml:space="preserve"> </w:t>
      </w:r>
      <w:r w:rsidR="00D6408C">
        <w:t xml:space="preserve">Power &amp; Beyond deckt diesen Bedarf und informiert mit </w:t>
      </w:r>
      <w:r w:rsidR="00D6408C" w:rsidRPr="00BE2BDB">
        <w:t>rund 200</w:t>
      </w:r>
      <w:r w:rsidR="00D6408C">
        <w:t xml:space="preserve"> </w:t>
      </w:r>
      <w:r w:rsidR="00B42168">
        <w:t>Beiträge</w:t>
      </w:r>
      <w:r w:rsidR="00595844">
        <w:t>n</w:t>
      </w:r>
      <w:r w:rsidR="00B42168">
        <w:t xml:space="preserve"> im</w:t>
      </w:r>
      <w:r w:rsidR="00D6408C">
        <w:t xml:space="preserve"> Jahr über </w:t>
      </w:r>
      <w:r w:rsidR="00AC5308">
        <w:t xml:space="preserve">Neuigkeiten, </w:t>
      </w:r>
      <w:r w:rsidR="00D6408C">
        <w:t>Trends und Marktdynamiken der Leistungselektronik. Die</w:t>
      </w:r>
      <w:r w:rsidR="00D6408C" w:rsidRPr="00697046">
        <w:t xml:space="preserve"> </w:t>
      </w:r>
      <w:proofErr w:type="spellStart"/>
      <w:r w:rsidR="00D6408C" w:rsidRPr="00697046">
        <w:t>kuratierte</w:t>
      </w:r>
      <w:r w:rsidR="00D6408C">
        <w:t>n</w:t>
      </w:r>
      <w:proofErr w:type="spellEnd"/>
      <w:r w:rsidR="00D6408C">
        <w:t xml:space="preserve"> </w:t>
      </w:r>
      <w:r w:rsidR="00BE2BDB">
        <w:t>Inhalte stehen</w:t>
      </w:r>
      <w:r w:rsidR="00D6408C">
        <w:t xml:space="preserve"> </w:t>
      </w:r>
      <w:r w:rsidR="00BE2BDB">
        <w:t>der internationalen</w:t>
      </w:r>
      <w:r w:rsidR="00D6408C">
        <w:t xml:space="preserve"> Fachzielgruppe in englischer Sprache zur Verfügung. </w:t>
      </w:r>
      <w:r w:rsidR="00D6408C">
        <w:rPr>
          <w:rFonts w:cs="Arial"/>
          <w:szCs w:val="22"/>
        </w:rPr>
        <w:t xml:space="preserve">Alle Artikel der Power &amp; Beyond sind in vier Hauptkategorien aufgeteilt: </w:t>
      </w:r>
    </w:p>
    <w:p w14:paraId="1A8E8FFC" w14:textId="77777777" w:rsidR="00D6408C" w:rsidRDefault="00D6408C" w:rsidP="00D6408C">
      <w:pPr>
        <w:spacing w:line="250" w:lineRule="exact"/>
        <w:rPr>
          <w:rFonts w:cs="Arial"/>
          <w:szCs w:val="22"/>
        </w:rPr>
      </w:pPr>
    </w:p>
    <w:p w14:paraId="6A367303" w14:textId="4552E265" w:rsidR="00D6408C" w:rsidRDefault="00D6408C" w:rsidP="00D6408C">
      <w:pPr>
        <w:pStyle w:val="Listenabsatz"/>
        <w:widowControl/>
        <w:numPr>
          <w:ilvl w:val="0"/>
          <w:numId w:val="1"/>
        </w:numPr>
        <w:spacing w:after="160" w:line="259" w:lineRule="auto"/>
        <w:rPr>
          <w:rFonts w:eastAsia="Calibri" w:cs="Arial"/>
          <w:szCs w:val="22"/>
          <w:lang w:eastAsia="en-US"/>
        </w:rPr>
      </w:pPr>
      <w:r w:rsidRPr="006672F9">
        <w:rPr>
          <w:rFonts w:eastAsia="Calibri" w:cs="Arial"/>
          <w:b/>
          <w:szCs w:val="22"/>
          <w:lang w:eastAsia="en-US"/>
        </w:rPr>
        <w:t xml:space="preserve">Products &amp; </w:t>
      </w:r>
      <w:proofErr w:type="spellStart"/>
      <w:r w:rsidRPr="006672F9">
        <w:rPr>
          <w:rFonts w:eastAsia="Calibri" w:cs="Arial"/>
          <w:b/>
          <w:szCs w:val="22"/>
          <w:lang w:eastAsia="en-US"/>
        </w:rPr>
        <w:t>Applications</w:t>
      </w:r>
      <w:proofErr w:type="spellEnd"/>
      <w:r w:rsidRPr="006672F9">
        <w:rPr>
          <w:rFonts w:eastAsia="Calibri" w:cs="Arial"/>
          <w:szCs w:val="22"/>
          <w:lang w:eastAsia="en-US"/>
        </w:rPr>
        <w:br/>
        <w:t xml:space="preserve">Technische Fortschritte und </w:t>
      </w:r>
      <w:r>
        <w:rPr>
          <w:rFonts w:eastAsia="Calibri" w:cs="Arial"/>
          <w:szCs w:val="22"/>
          <w:lang w:eastAsia="en-US"/>
        </w:rPr>
        <w:t>Anwendungsfälle</w:t>
      </w:r>
    </w:p>
    <w:p w14:paraId="45E72A55" w14:textId="77777777" w:rsidR="00D6408C" w:rsidRPr="006672F9" w:rsidRDefault="00D6408C" w:rsidP="00D6408C">
      <w:pPr>
        <w:pStyle w:val="Listenabsatz"/>
        <w:widowControl/>
        <w:spacing w:after="160" w:line="259" w:lineRule="auto"/>
        <w:ind w:left="360"/>
        <w:rPr>
          <w:rFonts w:eastAsia="Calibri" w:cs="Arial"/>
          <w:szCs w:val="22"/>
          <w:lang w:eastAsia="en-US"/>
        </w:rPr>
      </w:pPr>
    </w:p>
    <w:p w14:paraId="504FDC77" w14:textId="77777777" w:rsidR="00D6408C" w:rsidRDefault="00D6408C" w:rsidP="00D6408C">
      <w:pPr>
        <w:pStyle w:val="Listenabsatz"/>
        <w:widowControl/>
        <w:numPr>
          <w:ilvl w:val="0"/>
          <w:numId w:val="1"/>
        </w:numPr>
        <w:spacing w:after="160" w:line="259" w:lineRule="auto"/>
        <w:rPr>
          <w:rFonts w:eastAsia="Calibri" w:cs="Arial"/>
          <w:szCs w:val="22"/>
          <w:lang w:eastAsia="en-US"/>
        </w:rPr>
      </w:pPr>
      <w:r w:rsidRPr="006672F9">
        <w:rPr>
          <w:rFonts w:eastAsia="Calibri" w:cs="Arial"/>
          <w:b/>
          <w:szCs w:val="22"/>
          <w:lang w:eastAsia="en-US"/>
        </w:rPr>
        <w:t>Industry News</w:t>
      </w:r>
      <w:r w:rsidRPr="006672F9">
        <w:rPr>
          <w:rFonts w:eastAsia="Calibri" w:cs="Arial"/>
          <w:szCs w:val="22"/>
          <w:lang w:eastAsia="en-US"/>
        </w:rPr>
        <w:br/>
        <w:t>Branchen-News, Unternehmen, Studien, Prognosen</w:t>
      </w:r>
    </w:p>
    <w:p w14:paraId="22C9960D" w14:textId="77777777" w:rsidR="00D6408C" w:rsidRPr="008510E1" w:rsidRDefault="00D6408C" w:rsidP="00D6408C">
      <w:pPr>
        <w:pStyle w:val="Listenabsatz"/>
        <w:widowControl/>
        <w:spacing w:after="160" w:line="259" w:lineRule="auto"/>
        <w:ind w:left="360"/>
        <w:rPr>
          <w:rFonts w:eastAsia="Calibri" w:cs="Arial"/>
          <w:szCs w:val="22"/>
          <w:lang w:eastAsia="en-US"/>
        </w:rPr>
      </w:pPr>
    </w:p>
    <w:p w14:paraId="2A8E3BE1" w14:textId="77777777" w:rsidR="00D6408C" w:rsidRDefault="00D6408C" w:rsidP="00D6408C">
      <w:pPr>
        <w:pStyle w:val="Listenabsatz"/>
        <w:widowControl/>
        <w:numPr>
          <w:ilvl w:val="0"/>
          <w:numId w:val="1"/>
        </w:numPr>
        <w:spacing w:after="160" w:line="259" w:lineRule="auto"/>
        <w:rPr>
          <w:rFonts w:eastAsia="Calibri" w:cs="Arial"/>
          <w:szCs w:val="22"/>
          <w:lang w:eastAsia="en-US"/>
        </w:rPr>
      </w:pPr>
      <w:r w:rsidRPr="006672F9">
        <w:rPr>
          <w:rFonts w:eastAsia="Calibri" w:cs="Arial"/>
          <w:b/>
          <w:szCs w:val="22"/>
          <w:lang w:eastAsia="en-US"/>
        </w:rPr>
        <w:t>Research &amp; Development</w:t>
      </w:r>
      <w:r w:rsidRPr="008510E1">
        <w:rPr>
          <w:rFonts w:eastAsia="Calibri" w:cs="Arial"/>
          <w:szCs w:val="22"/>
          <w:lang w:eastAsia="en-US"/>
        </w:rPr>
        <w:br/>
        <w:t>Forschung, technische Innovationen, Studien</w:t>
      </w:r>
    </w:p>
    <w:p w14:paraId="2D9BE155" w14:textId="77777777" w:rsidR="00D6408C" w:rsidRPr="008510E1" w:rsidRDefault="00D6408C" w:rsidP="00D6408C">
      <w:pPr>
        <w:pStyle w:val="Listenabsatz"/>
        <w:widowControl/>
        <w:spacing w:after="160" w:line="259" w:lineRule="auto"/>
        <w:ind w:left="360"/>
        <w:rPr>
          <w:rFonts w:eastAsia="Calibri" w:cs="Arial"/>
          <w:szCs w:val="22"/>
          <w:lang w:eastAsia="en-US"/>
        </w:rPr>
      </w:pPr>
    </w:p>
    <w:p w14:paraId="5020555E" w14:textId="77777777" w:rsidR="00D6408C" w:rsidRPr="006672F9" w:rsidRDefault="00D6408C" w:rsidP="00D6408C">
      <w:pPr>
        <w:pStyle w:val="Listenabsatz"/>
        <w:widowControl/>
        <w:numPr>
          <w:ilvl w:val="0"/>
          <w:numId w:val="1"/>
        </w:numPr>
        <w:spacing w:after="160" w:line="259" w:lineRule="auto"/>
        <w:rPr>
          <w:rFonts w:eastAsia="Calibri" w:cs="Arial"/>
          <w:szCs w:val="22"/>
          <w:lang w:eastAsia="en-US"/>
        </w:rPr>
      </w:pPr>
      <w:r w:rsidRPr="006672F9">
        <w:rPr>
          <w:rFonts w:eastAsia="Calibri" w:cs="Arial"/>
          <w:b/>
          <w:szCs w:val="22"/>
          <w:lang w:eastAsia="en-US"/>
        </w:rPr>
        <w:t>Tools &amp; Software</w:t>
      </w:r>
      <w:r w:rsidRPr="006672F9">
        <w:rPr>
          <w:rFonts w:eastAsia="Calibri" w:cs="Arial"/>
          <w:szCs w:val="22"/>
          <w:lang w:eastAsia="en-US"/>
        </w:rPr>
        <w:br/>
        <w:t>Test- und Prüfverfahren, Zertifizierungen, Arbeitsmittel, Software</w:t>
      </w:r>
    </w:p>
    <w:p w14:paraId="0377C8AD" w14:textId="77777777" w:rsidR="00D6408C" w:rsidRDefault="00D6408C" w:rsidP="00D6408C">
      <w:pPr>
        <w:spacing w:line="250" w:lineRule="exact"/>
        <w:rPr>
          <w:rFonts w:cs="Arial"/>
          <w:szCs w:val="22"/>
        </w:rPr>
      </w:pPr>
    </w:p>
    <w:p w14:paraId="255A39F0" w14:textId="118E5D05" w:rsidR="00D6408C" w:rsidRDefault="00D6408C" w:rsidP="00D6408C">
      <w:pPr>
        <w:spacing w:line="250" w:lineRule="exact"/>
        <w:rPr>
          <w:rFonts w:cs="Arial"/>
          <w:szCs w:val="22"/>
        </w:rPr>
      </w:pPr>
      <w:r w:rsidRPr="00B57041">
        <w:rPr>
          <w:rFonts w:cs="Arial"/>
          <w:szCs w:val="22"/>
        </w:rPr>
        <w:t>Werbetreibende</w:t>
      </w:r>
      <w:r w:rsidR="00984C5A">
        <w:rPr>
          <w:rFonts w:cs="Arial"/>
          <w:szCs w:val="22"/>
        </w:rPr>
        <w:t xml:space="preserve"> und </w:t>
      </w:r>
      <w:r w:rsidR="00AC5308">
        <w:rPr>
          <w:rFonts w:cs="Arial"/>
          <w:szCs w:val="22"/>
        </w:rPr>
        <w:t>Anbieter von Leistungselektronik-Produkten</w:t>
      </w:r>
      <w:r w:rsidR="00C305AA">
        <w:rPr>
          <w:rFonts w:cs="Arial"/>
          <w:szCs w:val="22"/>
        </w:rPr>
        <w:t xml:space="preserve"> können auf der reichweitenstarken</w:t>
      </w:r>
      <w:r w:rsidR="00C305AA" w:rsidRPr="00B57041">
        <w:rPr>
          <w:rFonts w:cs="Arial"/>
          <w:szCs w:val="22"/>
        </w:rPr>
        <w:t xml:space="preserve"> </w:t>
      </w:r>
      <w:r w:rsidR="00C305AA">
        <w:rPr>
          <w:rFonts w:cs="Arial"/>
          <w:szCs w:val="22"/>
        </w:rPr>
        <w:t>Plattform</w:t>
      </w:r>
      <w:r w:rsidR="00C305AA" w:rsidRPr="00B57041">
        <w:rPr>
          <w:rFonts w:cs="Arial"/>
          <w:szCs w:val="22"/>
        </w:rPr>
        <w:t xml:space="preserve"> </w:t>
      </w:r>
      <w:r w:rsidR="00C305AA">
        <w:rPr>
          <w:rFonts w:cs="Arial"/>
          <w:szCs w:val="22"/>
        </w:rPr>
        <w:t xml:space="preserve">mit diversen Werbemöglichkeiten auf sich aufmerksam machen und </w:t>
      </w:r>
      <w:r>
        <w:rPr>
          <w:rFonts w:cs="Arial"/>
          <w:szCs w:val="22"/>
        </w:rPr>
        <w:t>profitieren von einer gezielte</w:t>
      </w:r>
      <w:r w:rsidR="00C305AA">
        <w:rPr>
          <w:rFonts w:cs="Arial"/>
          <w:szCs w:val="22"/>
        </w:rPr>
        <w:t>n Ansprache eines Fachpublikums.</w:t>
      </w:r>
    </w:p>
    <w:p w14:paraId="116D82A8" w14:textId="77777777" w:rsidR="00D6408C" w:rsidRDefault="00D6408C" w:rsidP="00D6408C">
      <w:pPr>
        <w:spacing w:line="250" w:lineRule="exact"/>
        <w:rPr>
          <w:rFonts w:cs="Arial"/>
          <w:szCs w:val="22"/>
        </w:rPr>
      </w:pPr>
    </w:p>
    <w:p w14:paraId="313A3209" w14:textId="201B3B7E" w:rsidR="00D6408C" w:rsidRDefault="00D6408C" w:rsidP="00D6408C">
      <w:pPr>
        <w:spacing w:line="250" w:lineRule="exact"/>
        <w:rPr>
          <w:rFonts w:cs="Arial"/>
          <w:szCs w:val="22"/>
        </w:rPr>
      </w:pPr>
      <w:r w:rsidRPr="0004454F">
        <w:rPr>
          <w:rFonts w:cs="Arial"/>
          <w:szCs w:val="22"/>
        </w:rPr>
        <w:t xml:space="preserve">Power &amp; Beyond steht </w:t>
      </w:r>
      <w:r>
        <w:rPr>
          <w:rFonts w:cs="Arial"/>
          <w:szCs w:val="22"/>
        </w:rPr>
        <w:t>ganzjährig</w:t>
      </w:r>
      <w:r w:rsidRPr="0004454F">
        <w:rPr>
          <w:rFonts w:cs="Arial"/>
          <w:szCs w:val="22"/>
        </w:rPr>
        <w:t xml:space="preserve"> </w:t>
      </w:r>
      <w:hyperlink r:id="rId9" w:history="1">
        <w:r w:rsidRPr="00824BE4">
          <w:rPr>
            <w:rStyle w:val="Hyperlink"/>
            <w:rFonts w:cs="Arial"/>
            <w:szCs w:val="22"/>
          </w:rPr>
          <w:t>online</w:t>
        </w:r>
      </w:hyperlink>
      <w:r w:rsidRPr="0004454F">
        <w:rPr>
          <w:rFonts w:cs="Arial"/>
          <w:szCs w:val="22"/>
        </w:rPr>
        <w:t xml:space="preserve"> zur Verfügung</w:t>
      </w:r>
      <w:r>
        <w:rPr>
          <w:rFonts w:cs="Arial"/>
          <w:szCs w:val="22"/>
        </w:rPr>
        <w:t>.</w:t>
      </w:r>
    </w:p>
    <w:p w14:paraId="0BA28DC7" w14:textId="77777777" w:rsidR="00DE518E" w:rsidRDefault="00DE518E" w:rsidP="00DE518E">
      <w:pPr>
        <w:spacing w:line="280" w:lineRule="atLeast"/>
        <w:rPr>
          <w:rFonts w:cs="Arial"/>
          <w:szCs w:val="22"/>
        </w:rPr>
      </w:pPr>
    </w:p>
    <w:p w14:paraId="50826390" w14:textId="77777777" w:rsidR="00234E2D" w:rsidRPr="000A299F" w:rsidRDefault="00234E2D" w:rsidP="00234E2D">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35327676" w14:textId="37283840" w:rsidR="00234E2D" w:rsidRPr="000A299F" w:rsidRDefault="00234E2D" w:rsidP="00234E2D">
      <w:pPr>
        <w:rPr>
          <w:rFonts w:cs="Arial"/>
          <w:sz w:val="17"/>
          <w:szCs w:val="17"/>
        </w:rPr>
      </w:pPr>
      <w:r w:rsidRPr="000A299F">
        <w:rPr>
          <w:rFonts w:cs="Arial"/>
          <w:sz w:val="17"/>
          <w:szCs w:val="17"/>
        </w:rPr>
        <w:t xml:space="preserve">Mesago mit Sitz in Stuttgart wurde 1982 gegründet und ist Veranstalter fokussierter Messen, Kongresse und Seminare mit Schwerpunkt auf Technologie. Das Unternehmen gehört zur </w:t>
      </w:r>
      <w:r w:rsidRPr="000A299F">
        <w:rPr>
          <w:rFonts w:cs="Arial"/>
          <w:sz w:val="17"/>
          <w:szCs w:val="17"/>
        </w:rPr>
        <w:lastRenderedPageBreak/>
        <w:t>Messe Frankfurt Group. Mesago agiert international, messeplatzunabhängig und v</w:t>
      </w:r>
      <w:r w:rsidR="00276A1F">
        <w:rPr>
          <w:rFonts w:cs="Arial"/>
          <w:sz w:val="17"/>
          <w:szCs w:val="17"/>
        </w:rPr>
        <w:t>eranstaltet pro Jahr mit 16</w:t>
      </w:r>
      <w:r w:rsidRPr="000A299F">
        <w:rPr>
          <w:rFonts w:cs="Arial"/>
          <w:sz w:val="17"/>
          <w:szCs w:val="17"/>
        </w:rPr>
        <w:t>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6BF75CF7" w14:textId="77777777" w:rsidR="00234E2D" w:rsidRDefault="00234E2D" w:rsidP="00234E2D">
      <w:pPr>
        <w:spacing w:line="280" w:lineRule="atLeast"/>
        <w:rPr>
          <w:sz w:val="17"/>
          <w:szCs w:val="17"/>
        </w:rPr>
      </w:pPr>
    </w:p>
    <w:p w14:paraId="62848EED" w14:textId="77777777" w:rsidR="00F437D0" w:rsidRPr="00633914" w:rsidRDefault="00F437D0" w:rsidP="00F437D0">
      <w:pPr>
        <w:pStyle w:val="Kopfzeile"/>
        <w:tabs>
          <w:tab w:val="clear" w:pos="4819"/>
          <w:tab w:val="clear" w:pos="9071"/>
        </w:tabs>
        <w:spacing w:line="280" w:lineRule="atLeast"/>
        <w:rPr>
          <w:rFonts w:cs="Arial"/>
          <w:noProof/>
          <w:sz w:val="17"/>
          <w:szCs w:val="17"/>
        </w:rPr>
      </w:pPr>
      <w:r w:rsidRPr="00633914">
        <w:rPr>
          <w:rFonts w:cs="Arial"/>
          <w:b/>
          <w:bCs/>
          <w:noProof/>
          <w:sz w:val="17"/>
          <w:szCs w:val="17"/>
        </w:rPr>
        <w:t>Hintergrundinformationen Messe Frankfurt</w:t>
      </w:r>
    </w:p>
    <w:p w14:paraId="126C0F70" w14:textId="6498E900" w:rsidR="00F437D0" w:rsidRDefault="00F437D0" w:rsidP="00F437D0">
      <w:pPr>
        <w:spacing w:line="280" w:lineRule="atLeast"/>
        <w:ind w:right="-284"/>
        <w:rPr>
          <w:rFonts w:cs="Arial"/>
          <w:sz w:val="17"/>
          <w:szCs w:val="17"/>
        </w:rPr>
      </w:pPr>
      <w:r w:rsidRPr="00633914">
        <w:rPr>
          <w:rFonts w:cs="Arial"/>
          <w:sz w:val="17"/>
          <w:szCs w:val="17"/>
        </w:rPr>
        <w:t>Messe Frankfurt ist der weltweit größte Messe-, Kongress</w:t>
      </w:r>
      <w:r>
        <w:rPr>
          <w:rFonts w:cs="Arial"/>
          <w:sz w:val="17"/>
          <w:szCs w:val="17"/>
        </w:rPr>
        <w:t>-</w:t>
      </w:r>
      <w:r w:rsidRPr="00633914">
        <w:rPr>
          <w:rFonts w:cs="Arial"/>
          <w:sz w:val="17"/>
          <w:szCs w:val="17"/>
        </w:rPr>
        <w:t xml:space="preserve"> und Eventveranstalter m</w:t>
      </w:r>
      <w:r w:rsidR="00536603">
        <w:rPr>
          <w:rFonts w:cs="Arial"/>
          <w:sz w:val="17"/>
          <w:szCs w:val="17"/>
        </w:rPr>
        <w:t>it eigenem Gelände. Mehr als 2.6</w:t>
      </w:r>
      <w:r w:rsidRPr="00633914">
        <w:rPr>
          <w:rFonts w:cs="Arial"/>
          <w:sz w:val="17"/>
          <w:szCs w:val="17"/>
        </w:rPr>
        <w:t>00</w:t>
      </w:r>
      <w:r>
        <w:rPr>
          <w:rFonts w:cs="Arial"/>
          <w:sz w:val="17"/>
          <w:szCs w:val="17"/>
        </w:rPr>
        <w:t>*</w:t>
      </w:r>
      <w:r w:rsidRPr="00633914">
        <w:rPr>
          <w:rFonts w:cs="Arial"/>
          <w:sz w:val="17"/>
          <w:szCs w:val="17"/>
        </w:rPr>
        <w:t xml:space="preserve"> Mitarbeiter an 30 Standorten erwirtschaften</w:t>
      </w:r>
      <w:r w:rsidR="00536603">
        <w:rPr>
          <w:rFonts w:cs="Arial"/>
          <w:sz w:val="17"/>
          <w:szCs w:val="17"/>
        </w:rPr>
        <w:t xml:space="preserve"> einen Jahresumsatz von rund 733</w:t>
      </w:r>
      <w:r>
        <w:rPr>
          <w:rFonts w:cs="Arial"/>
          <w:sz w:val="17"/>
          <w:szCs w:val="17"/>
        </w:rPr>
        <w:t>*</w:t>
      </w:r>
      <w:r w:rsidRPr="00633914">
        <w:rPr>
          <w:rFonts w:cs="Arial"/>
          <w:sz w:val="17"/>
          <w:szCs w:val="17"/>
        </w:rPr>
        <w:t xml:space="preserve"> Millionen Euro. Mittels tiefgreifender Vernetzung mit den Branchen und eines internationalen Vertriebsnetzes unterstützt die Unternehmensgruppe effizient die Geschäftsinteressen ihrer Kunden. Ein umfassendes Dienstleistungsangebot – </w:t>
      </w:r>
      <w:proofErr w:type="spellStart"/>
      <w:r w:rsidRPr="00633914">
        <w:rPr>
          <w:rFonts w:cs="Arial"/>
          <w:sz w:val="17"/>
          <w:szCs w:val="17"/>
        </w:rPr>
        <w:t>onsite</w:t>
      </w:r>
      <w:proofErr w:type="spellEnd"/>
      <w:r w:rsidRPr="00633914">
        <w:rPr>
          <w:rFonts w:cs="Arial"/>
          <w:sz w:val="17"/>
          <w:szCs w:val="17"/>
        </w:rPr>
        <w:t xml:space="preserve"> und online – gewährleistet Kunden weltweit eine gleichbleibend hohe Qualität und Flexibilität bei der Planung, Organisation und Durchführung ihrer Veranstaltung. Die Servicepalette reicht dabei von der Geländevermietung über Messebau und Marketingdienstleistungen bis hin zu Personaldienstleistungen und Gastronomie. Hauptsitz des Unternehmens ist Frankfurt am Main. Anteilseigner sind die Stadt Frankfurt mit</w:t>
      </w:r>
      <w:r>
        <w:rPr>
          <w:rFonts w:cs="Arial"/>
          <w:sz w:val="17"/>
          <w:szCs w:val="17"/>
        </w:rPr>
        <w:t xml:space="preserve"> </w:t>
      </w:r>
      <w:r w:rsidRPr="00633914">
        <w:rPr>
          <w:rFonts w:cs="Arial"/>
          <w:sz w:val="17"/>
          <w:szCs w:val="17"/>
        </w:rPr>
        <w:t xml:space="preserve">60 Prozent und das Land Hessen mit 40 Prozent. Weitere Informationen: </w:t>
      </w:r>
      <w:hyperlink r:id="rId11" w:history="1">
        <w:r w:rsidRPr="00633914">
          <w:rPr>
            <w:rStyle w:val="Hyperlink"/>
            <w:rFonts w:cs="Arial"/>
            <w:sz w:val="17"/>
            <w:szCs w:val="17"/>
          </w:rPr>
          <w:t>www.messefrankfurt.com</w:t>
        </w:r>
      </w:hyperlink>
      <w:r>
        <w:rPr>
          <w:rStyle w:val="Hyperlink"/>
          <w:rFonts w:cs="Arial"/>
          <w:sz w:val="17"/>
          <w:szCs w:val="17"/>
        </w:rPr>
        <w:t> </w:t>
      </w:r>
      <w:r w:rsidRPr="00633914">
        <w:rPr>
          <w:rFonts w:cs="Arial"/>
          <w:sz w:val="17"/>
          <w:szCs w:val="17"/>
        </w:rPr>
        <w:t xml:space="preserve"> </w:t>
      </w:r>
    </w:p>
    <w:p w14:paraId="4EA9BD54" w14:textId="76B2C1EB" w:rsidR="00DE518E" w:rsidRPr="00093188" w:rsidRDefault="00536603" w:rsidP="00093188">
      <w:pPr>
        <w:spacing w:line="280" w:lineRule="atLeast"/>
        <w:ind w:right="-284"/>
        <w:rPr>
          <w:rFonts w:cs="Arial"/>
          <w:sz w:val="17"/>
          <w:szCs w:val="17"/>
        </w:rPr>
      </w:pPr>
      <w:r>
        <w:rPr>
          <w:rFonts w:cs="Arial"/>
          <w:sz w:val="17"/>
          <w:szCs w:val="17"/>
        </w:rPr>
        <w:t>*vorläufige Kennzahlen 2019</w:t>
      </w:r>
    </w:p>
    <w:p w14:paraId="60D12617" w14:textId="77777777" w:rsidR="00DE518E" w:rsidRDefault="00DE518E" w:rsidP="00DE518E">
      <w:pPr>
        <w:spacing w:line="280" w:lineRule="atLeast"/>
        <w:rPr>
          <w:rFonts w:cs="Arial"/>
          <w:b/>
          <w:sz w:val="17"/>
          <w:szCs w:val="17"/>
        </w:rPr>
      </w:pPr>
    </w:p>
    <w:p w14:paraId="52AF33BF" w14:textId="77777777" w:rsidR="00DE518E" w:rsidRDefault="00DE518E" w:rsidP="00DE518E">
      <w:pPr>
        <w:spacing w:line="280" w:lineRule="atLeast"/>
        <w:rPr>
          <w:rFonts w:cs="Arial"/>
          <w:b/>
          <w:sz w:val="17"/>
          <w:szCs w:val="17"/>
        </w:rPr>
      </w:pPr>
    </w:p>
    <w:p w14:paraId="2660F5BD" w14:textId="77777777" w:rsidR="00DE518E" w:rsidRDefault="00DE518E" w:rsidP="00DE518E">
      <w:pPr>
        <w:spacing w:line="280" w:lineRule="atLeast"/>
        <w:rPr>
          <w:rFonts w:cs="Arial"/>
          <w:b/>
          <w:sz w:val="17"/>
          <w:szCs w:val="17"/>
        </w:rPr>
      </w:pPr>
    </w:p>
    <w:p w14:paraId="70C014D8" w14:textId="77777777" w:rsidR="00DE518E" w:rsidRDefault="00DE518E" w:rsidP="00DE518E">
      <w:pPr>
        <w:spacing w:line="280" w:lineRule="atLeast"/>
        <w:rPr>
          <w:rFonts w:cs="Arial"/>
          <w:sz w:val="17"/>
          <w:szCs w:val="17"/>
        </w:rPr>
      </w:pPr>
    </w:p>
    <w:p w14:paraId="13ECA3B9" w14:textId="77777777" w:rsidR="00DE518E" w:rsidRDefault="00DE518E" w:rsidP="00DE518E">
      <w:pPr>
        <w:spacing w:line="280" w:lineRule="atLeast"/>
        <w:rPr>
          <w:rFonts w:cs="Arial"/>
          <w:sz w:val="17"/>
          <w:szCs w:val="17"/>
        </w:rPr>
      </w:pPr>
    </w:p>
    <w:p w14:paraId="7851B06B" w14:textId="77777777" w:rsidR="00DE518E" w:rsidRDefault="00DE518E" w:rsidP="00DE518E">
      <w:pPr>
        <w:spacing w:line="280" w:lineRule="atLeast"/>
        <w:rPr>
          <w:rFonts w:cs="Arial"/>
          <w:sz w:val="17"/>
          <w:szCs w:val="17"/>
        </w:rPr>
      </w:pPr>
    </w:p>
    <w:p w14:paraId="041D0711" w14:textId="77777777" w:rsidR="00D362FB" w:rsidRDefault="00D362FB" w:rsidP="00D362FB">
      <w:pPr>
        <w:spacing w:line="280" w:lineRule="atLeast"/>
        <w:rPr>
          <w:rFonts w:cs="Arial"/>
          <w:sz w:val="17"/>
          <w:szCs w:val="17"/>
        </w:rPr>
      </w:pPr>
    </w:p>
    <w:p w14:paraId="68A4B897" w14:textId="77777777" w:rsidR="00D362FB" w:rsidRDefault="00D362FB" w:rsidP="00D362FB">
      <w:pPr>
        <w:spacing w:line="280" w:lineRule="atLeast"/>
        <w:rPr>
          <w:rFonts w:cs="Arial"/>
          <w:sz w:val="17"/>
          <w:szCs w:val="17"/>
        </w:rPr>
      </w:pPr>
    </w:p>
    <w:p w14:paraId="124A7983" w14:textId="77777777" w:rsidR="00D362FB" w:rsidRDefault="00D362FB" w:rsidP="00D362FB">
      <w:pPr>
        <w:spacing w:line="280" w:lineRule="atLeast"/>
        <w:rPr>
          <w:rFonts w:cs="Arial"/>
          <w:sz w:val="17"/>
          <w:szCs w:val="17"/>
        </w:rPr>
      </w:pPr>
    </w:p>
    <w:p w14:paraId="4E244558" w14:textId="77777777" w:rsidR="00D362FB" w:rsidRDefault="00D362FB" w:rsidP="00D362FB">
      <w:pPr>
        <w:spacing w:line="280" w:lineRule="atLeast"/>
        <w:rPr>
          <w:rFonts w:cs="Arial"/>
          <w:sz w:val="17"/>
          <w:szCs w:val="17"/>
        </w:rPr>
      </w:pPr>
    </w:p>
    <w:p w14:paraId="608527FE" w14:textId="77777777" w:rsidR="00D362FB" w:rsidRDefault="00D362FB" w:rsidP="00D362FB">
      <w:pPr>
        <w:spacing w:line="280" w:lineRule="atLeast"/>
        <w:rPr>
          <w:rFonts w:cs="Arial"/>
          <w:sz w:val="17"/>
          <w:szCs w:val="17"/>
        </w:rPr>
      </w:pPr>
    </w:p>
    <w:p w14:paraId="6C368393" w14:textId="77777777" w:rsidR="00D362FB" w:rsidRDefault="00D362FB" w:rsidP="00D362FB">
      <w:pPr>
        <w:spacing w:line="280" w:lineRule="atLeast"/>
        <w:rPr>
          <w:rFonts w:cs="Arial"/>
          <w:sz w:val="17"/>
          <w:szCs w:val="17"/>
        </w:rPr>
      </w:pPr>
    </w:p>
    <w:p w14:paraId="7E25DB9F" w14:textId="77777777" w:rsidR="00391301" w:rsidRDefault="00391301" w:rsidP="00D362FB">
      <w:pPr>
        <w:spacing w:line="280" w:lineRule="atLeast"/>
        <w:rPr>
          <w:rFonts w:cs="Arial"/>
          <w:sz w:val="17"/>
          <w:szCs w:val="17"/>
        </w:rPr>
      </w:pPr>
    </w:p>
    <w:p w14:paraId="0D675448" w14:textId="77777777" w:rsidR="00391301" w:rsidRDefault="00391301" w:rsidP="00D362FB">
      <w:pPr>
        <w:spacing w:line="280" w:lineRule="atLeast"/>
        <w:rPr>
          <w:rFonts w:cs="Arial"/>
          <w:sz w:val="17"/>
          <w:szCs w:val="17"/>
        </w:rPr>
      </w:pPr>
    </w:p>
    <w:p w14:paraId="501908D3" w14:textId="77777777" w:rsidR="00391301" w:rsidRDefault="00391301" w:rsidP="00D362FB">
      <w:pPr>
        <w:spacing w:line="280" w:lineRule="atLeast"/>
        <w:rPr>
          <w:rFonts w:cs="Arial"/>
          <w:sz w:val="17"/>
          <w:szCs w:val="17"/>
        </w:rPr>
      </w:pPr>
    </w:p>
    <w:p w14:paraId="6B74691B" w14:textId="77777777" w:rsidR="00391301" w:rsidRDefault="00391301" w:rsidP="00D362FB">
      <w:pPr>
        <w:spacing w:line="280" w:lineRule="atLeast"/>
        <w:rPr>
          <w:rFonts w:cs="Arial"/>
          <w:sz w:val="17"/>
          <w:szCs w:val="17"/>
        </w:rPr>
      </w:pPr>
    </w:p>
    <w:p w14:paraId="6BF12492" w14:textId="77777777" w:rsidR="00391301" w:rsidRDefault="00391301" w:rsidP="00D362FB">
      <w:pPr>
        <w:spacing w:line="280" w:lineRule="atLeast"/>
        <w:rPr>
          <w:rFonts w:cs="Arial"/>
          <w:sz w:val="17"/>
          <w:szCs w:val="17"/>
        </w:rPr>
      </w:pPr>
    </w:p>
    <w:p w14:paraId="68C1B631" w14:textId="77777777" w:rsidR="00391301" w:rsidRDefault="00391301" w:rsidP="00D362FB">
      <w:pPr>
        <w:spacing w:line="280" w:lineRule="atLeast"/>
        <w:rPr>
          <w:rFonts w:cs="Arial"/>
          <w:sz w:val="17"/>
          <w:szCs w:val="17"/>
        </w:rPr>
      </w:pPr>
    </w:p>
    <w:sectPr w:rsidR="00391301">
      <w:headerReference w:type="even" r:id="rId12"/>
      <w:headerReference w:type="default" r:id="rId13"/>
      <w:footerReference w:type="even"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FD3C6" w14:textId="77777777" w:rsidR="00266393" w:rsidRDefault="00266393">
      <w:r>
        <w:separator/>
      </w:r>
    </w:p>
  </w:endnote>
  <w:endnote w:type="continuationSeparator" w:id="0">
    <w:p w14:paraId="5EE03A59" w14:textId="77777777" w:rsidR="00266393" w:rsidRDefault="0026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66EE5" w14:textId="77777777" w:rsidR="002E122E" w:rsidRDefault="002E12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526A6FA0"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77777777" w:rsidR="00D362FB" w:rsidRDefault="00D362FB">
                          <w:pPr>
                            <w:spacing w:line="240" w:lineRule="atLeast"/>
                          </w:pPr>
                          <w:bookmarkStart w:id="5" w:name="Seitetext"/>
                          <w:bookmarkEnd w:id="5"/>
                          <w:r>
                            <w:t xml:space="preserve">Page </w:t>
                          </w:r>
                          <w:r>
                            <w:fldChar w:fldCharType="begin"/>
                          </w:r>
                          <w:r>
                            <w:instrText xml:space="preserve"> PAGE   \* MERGEFORMAT </w:instrText>
                          </w:r>
                          <w:r>
                            <w:fldChar w:fldCharType="separate"/>
                          </w:r>
                          <w:r w:rsidR="002E122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77777777" w:rsidR="00D362FB" w:rsidRDefault="00D362FB">
                    <w:pPr>
                      <w:spacing w:line="240" w:lineRule="atLeast"/>
                    </w:pPr>
                    <w:bookmarkStart w:id="6" w:name="Seitetext"/>
                    <w:bookmarkEnd w:id="6"/>
                    <w:r>
                      <w:t xml:space="preserve">Page </w:t>
                    </w:r>
                    <w:r>
                      <w:fldChar w:fldCharType="begin"/>
                    </w:r>
                    <w:r>
                      <w:instrText xml:space="preserve"> PAGE   \* MERGEFORMAT </w:instrText>
                    </w:r>
                    <w:r>
                      <w:fldChar w:fldCharType="separate"/>
                    </w:r>
                    <w:r w:rsidR="002E122E">
                      <w:rPr>
                        <w:noProof/>
                      </w:rPr>
                      <w:t>2</w:t>
                    </w:r>
                    <w:r>
                      <w:fldChar w:fldCharType="end"/>
                    </w:r>
                  </w:p>
                </w:txbxContent>
              </v:textbox>
              <w10:wrap anchorx="page" anchory="page"/>
            </v:shape>
          </w:pict>
        </mc:Fallback>
      </mc:AlternateContent>
    </w:r>
    <w:bookmarkStart w:id="7" w:name="_GoBack"/>
    <w:bookmarkEnd w:id="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6AB39737" w:rsidR="00D362FB" w:rsidRDefault="00D362FB">
    <w:pPr>
      <w:pStyle w:val="Fuzeile"/>
      <w:spacing w:line="240" w:lineRule="auto"/>
      <w:rPr>
        <w:sz w:val="12"/>
      </w:rPr>
    </w:pPr>
    <w:r>
      <w:rPr>
        <w:noProof/>
        <w:sz w:val="12"/>
      </w:rPr>
      <mc:AlternateContent>
        <mc:Choice Requires="wps">
          <w:drawing>
            <wp:anchor distT="0" distB="0" distL="114300" distR="114300" simplePos="0" relativeHeight="251656704" behindDoc="0" locked="1" layoutInCell="1" allowOverlap="1" wp14:anchorId="7085F641" wp14:editId="1B4F614D">
              <wp:simplePos x="0" y="0"/>
              <wp:positionH relativeFrom="page">
                <wp:posOffset>5402580</wp:posOffset>
              </wp:positionH>
              <wp:positionV relativeFrom="page">
                <wp:posOffset>8007350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Default="00AC19E1" w:rsidP="00AC19E1">
                          <w:pPr>
                            <w:spacing w:line="200" w:lineRule="exact"/>
                            <w:rPr>
                              <w:rFonts w:cs="Arial"/>
                              <w:sz w:val="15"/>
                              <w:szCs w:val="15"/>
                            </w:rPr>
                          </w:pPr>
                          <w:r w:rsidRPr="00F42869">
                            <w:rPr>
                              <w:rFonts w:cs="Arial"/>
                              <w:sz w:val="15"/>
                              <w:szCs w:val="15"/>
                            </w:rPr>
                            <w:t>Amtsgericht Stuttgart, HRB 13344</w:t>
                          </w:r>
                        </w:p>
                        <w:p w14:paraId="4F548F81" w14:textId="1CFCA8EF" w:rsidR="002E122E" w:rsidRPr="00CF6F85" w:rsidRDefault="002E122E" w:rsidP="00AC19E1">
                          <w:pPr>
                            <w:spacing w:line="200" w:lineRule="exact"/>
                            <w:rPr>
                              <w:noProof/>
                              <w:color w:val="000000"/>
                              <w:spacing w:val="4"/>
                              <w:sz w:val="15"/>
                              <w:szCs w:val="15"/>
                            </w:rPr>
                          </w:pPr>
                          <w:r>
                            <w:rPr>
                              <w:rFonts w:cs="Arial"/>
                              <w:sz w:val="15"/>
                              <w:szCs w:val="15"/>
                            </w:rPr>
                            <w:t>Mesago Messe Frankfurt GmbH</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Text Box 3" o:spid="_x0000_s1028" type="#_x0000_t202" style="position:absolute;margin-left:425.4pt;margin-top:630.5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Default="00AC19E1" w:rsidP="00AC19E1">
                    <w:pPr>
                      <w:spacing w:line="200" w:lineRule="exact"/>
                      <w:rPr>
                        <w:rFonts w:cs="Arial"/>
                        <w:sz w:val="15"/>
                        <w:szCs w:val="15"/>
                      </w:rPr>
                    </w:pPr>
                    <w:r w:rsidRPr="00F42869">
                      <w:rPr>
                        <w:rFonts w:cs="Arial"/>
                        <w:sz w:val="15"/>
                        <w:szCs w:val="15"/>
                      </w:rPr>
                      <w:t>Amtsgericht Stuttgart, HRB 13344</w:t>
                    </w:r>
                  </w:p>
                  <w:p w14:paraId="4F548F81" w14:textId="1CFCA8EF" w:rsidR="002E122E" w:rsidRPr="00CF6F85" w:rsidRDefault="002E122E" w:rsidP="00AC19E1">
                    <w:pPr>
                      <w:spacing w:line="200" w:lineRule="exact"/>
                      <w:rPr>
                        <w:noProof/>
                        <w:color w:val="000000"/>
                        <w:spacing w:val="4"/>
                        <w:sz w:val="15"/>
                        <w:szCs w:val="15"/>
                      </w:rPr>
                    </w:pPr>
                    <w:r>
                      <w:rPr>
                        <w:rFonts w:cs="Arial"/>
                        <w:sz w:val="15"/>
                        <w:szCs w:val="15"/>
                      </w:rPr>
                      <w:t>Mesago Messe Frankfurt GmbH</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C325E" w14:textId="77777777" w:rsidR="00266393" w:rsidRDefault="00266393">
      <w:r>
        <w:separator/>
      </w:r>
    </w:p>
  </w:footnote>
  <w:footnote w:type="continuationSeparator" w:id="0">
    <w:p w14:paraId="7765DBF6" w14:textId="77777777" w:rsidR="00266393" w:rsidRDefault="00266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D18C0" w14:textId="77777777" w:rsidR="002E122E" w:rsidRDefault="002E12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1950BB1E" w:rsidR="00D362FB" w:rsidRDefault="00820BEB">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49272246" wp14:editId="5BA33ACE">
                <wp:simplePos x="0" y="0"/>
                <wp:positionH relativeFrom="page">
                  <wp:posOffset>4662805</wp:posOffset>
                </wp:positionH>
                <wp:positionV relativeFrom="margin">
                  <wp:posOffset>659130</wp:posOffset>
                </wp:positionV>
                <wp:extent cx="1443355" cy="466725"/>
                <wp:effectExtent l="0" t="0" r="4445" b="0"/>
                <wp:wrapNone/>
                <wp:docPr id="22" name="Grafik 22" descr="mesa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sa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4667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79750514">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19A1AE97" w:rsidR="00D362FB" w:rsidRDefault="00812061">
    <w:pPr>
      <w:spacing w:line="120" w:lineRule="exac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B306D"/>
    <w:multiLevelType w:val="hybridMultilevel"/>
    <w:tmpl w:val="F4A26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24B6A"/>
    <w:rsid w:val="00093188"/>
    <w:rsid w:val="000C453A"/>
    <w:rsid w:val="000C7BAB"/>
    <w:rsid w:val="00153647"/>
    <w:rsid w:val="00173C77"/>
    <w:rsid w:val="001E0E18"/>
    <w:rsid w:val="00234E2D"/>
    <w:rsid w:val="00242D39"/>
    <w:rsid w:val="00266393"/>
    <w:rsid w:val="00276A1F"/>
    <w:rsid w:val="002E122E"/>
    <w:rsid w:val="002E3A34"/>
    <w:rsid w:val="00301469"/>
    <w:rsid w:val="00342F61"/>
    <w:rsid w:val="003443ED"/>
    <w:rsid w:val="00391301"/>
    <w:rsid w:val="00395902"/>
    <w:rsid w:val="003A1ADA"/>
    <w:rsid w:val="003C0E89"/>
    <w:rsid w:val="003C3677"/>
    <w:rsid w:val="003C5813"/>
    <w:rsid w:val="0041298C"/>
    <w:rsid w:val="004202FE"/>
    <w:rsid w:val="004601B5"/>
    <w:rsid w:val="0046086F"/>
    <w:rsid w:val="00536603"/>
    <w:rsid w:val="00536847"/>
    <w:rsid w:val="00551533"/>
    <w:rsid w:val="00595844"/>
    <w:rsid w:val="005E15F6"/>
    <w:rsid w:val="005F071D"/>
    <w:rsid w:val="006259FB"/>
    <w:rsid w:val="006B1E68"/>
    <w:rsid w:val="0076695A"/>
    <w:rsid w:val="00795E67"/>
    <w:rsid w:val="00812061"/>
    <w:rsid w:val="00820BEB"/>
    <w:rsid w:val="00824BE4"/>
    <w:rsid w:val="00862F38"/>
    <w:rsid w:val="00921FF1"/>
    <w:rsid w:val="009558C8"/>
    <w:rsid w:val="00984C5A"/>
    <w:rsid w:val="009A612F"/>
    <w:rsid w:val="009C4D81"/>
    <w:rsid w:val="009F58A4"/>
    <w:rsid w:val="009F767E"/>
    <w:rsid w:val="00AC19E1"/>
    <w:rsid w:val="00AC5308"/>
    <w:rsid w:val="00B17944"/>
    <w:rsid w:val="00B30BA6"/>
    <w:rsid w:val="00B42168"/>
    <w:rsid w:val="00BD2040"/>
    <w:rsid w:val="00BE2BDB"/>
    <w:rsid w:val="00C03BA2"/>
    <w:rsid w:val="00C305AA"/>
    <w:rsid w:val="00C8099E"/>
    <w:rsid w:val="00CB7EF1"/>
    <w:rsid w:val="00CF6F85"/>
    <w:rsid w:val="00D02079"/>
    <w:rsid w:val="00D362FB"/>
    <w:rsid w:val="00D6408C"/>
    <w:rsid w:val="00DB1C4E"/>
    <w:rsid w:val="00DC6715"/>
    <w:rsid w:val="00DE518E"/>
    <w:rsid w:val="00E20196"/>
    <w:rsid w:val="00E229D9"/>
    <w:rsid w:val="00E52C2E"/>
    <w:rsid w:val="00ED1F74"/>
    <w:rsid w:val="00EE3C8A"/>
    <w:rsid w:val="00EE6385"/>
    <w:rsid w:val="00F437D0"/>
    <w:rsid w:val="00F63F5D"/>
    <w:rsid w:val="00F87E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B30BA6"/>
    <w:rPr>
      <w:color w:val="954F72" w:themeColor="followedHyperlink"/>
      <w:u w:val="single"/>
    </w:rPr>
  </w:style>
  <w:style w:type="character" w:styleId="Kommentarzeichen">
    <w:name w:val="annotation reference"/>
    <w:basedOn w:val="Absatz-Standardschriftart"/>
    <w:semiHidden/>
    <w:unhideWhenUsed/>
    <w:rsid w:val="00D6408C"/>
    <w:rPr>
      <w:sz w:val="16"/>
      <w:szCs w:val="16"/>
    </w:rPr>
  </w:style>
  <w:style w:type="paragraph" w:styleId="Kommentartext">
    <w:name w:val="annotation text"/>
    <w:basedOn w:val="Standard"/>
    <w:link w:val="KommentartextZchn"/>
    <w:semiHidden/>
    <w:unhideWhenUsed/>
    <w:rsid w:val="00D6408C"/>
    <w:pPr>
      <w:spacing w:line="240" w:lineRule="auto"/>
    </w:pPr>
    <w:rPr>
      <w:sz w:val="20"/>
    </w:rPr>
  </w:style>
  <w:style w:type="character" w:customStyle="1" w:styleId="KommentartextZchn">
    <w:name w:val="Kommentartext Zchn"/>
    <w:basedOn w:val="Absatz-Standardschriftart"/>
    <w:link w:val="Kommentartext"/>
    <w:semiHidden/>
    <w:rsid w:val="00D6408C"/>
    <w:rPr>
      <w:rFonts w:ascii="Arial" w:hAnsi="Arial"/>
    </w:rPr>
  </w:style>
  <w:style w:type="paragraph" w:styleId="Listenabsatz">
    <w:name w:val="List Paragraph"/>
    <w:basedOn w:val="Standard"/>
    <w:uiPriority w:val="34"/>
    <w:qFormat/>
    <w:rsid w:val="00D6408C"/>
    <w:pPr>
      <w:ind w:left="720"/>
      <w:contextualSpacing/>
    </w:pPr>
  </w:style>
  <w:style w:type="paragraph" w:styleId="Kommentarthema">
    <w:name w:val="annotation subject"/>
    <w:basedOn w:val="Kommentartext"/>
    <w:next w:val="Kommentartext"/>
    <w:link w:val="KommentarthemaZchn"/>
    <w:semiHidden/>
    <w:unhideWhenUsed/>
    <w:rsid w:val="00862F38"/>
    <w:rPr>
      <w:b/>
      <w:bCs/>
    </w:rPr>
  </w:style>
  <w:style w:type="character" w:customStyle="1" w:styleId="KommentarthemaZchn">
    <w:name w:val="Kommentarthema Zchn"/>
    <w:basedOn w:val="KommentartextZchn"/>
    <w:link w:val="Kommentarthema"/>
    <w:semiHidden/>
    <w:rsid w:val="00862F3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39554">
      <w:bodyDiv w:val="1"/>
      <w:marLeft w:val="0"/>
      <w:marRight w:val="0"/>
      <w:marTop w:val="0"/>
      <w:marBottom w:val="0"/>
      <w:divBdr>
        <w:top w:val="none" w:sz="0" w:space="0" w:color="auto"/>
        <w:left w:val="none" w:sz="0" w:space="0" w:color="auto"/>
        <w:bottom w:val="none" w:sz="0" w:space="0" w:color="auto"/>
        <w:right w:val="none" w:sz="0" w:space="0" w:color="auto"/>
      </w:divBdr>
    </w:div>
    <w:div w:id="9270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ago.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sefrankfur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sag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wer-and-beyond.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C545-7F62-43BC-BFE9-3A04E27A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504</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3678</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Schuster, Silvia-Sarah (Mesago Stuttgart)</cp:lastModifiedBy>
  <cp:revision>34</cp:revision>
  <cp:lastPrinted>2014-08-08T15:06:00Z</cp:lastPrinted>
  <dcterms:created xsi:type="dcterms:W3CDTF">2020-10-20T10:14:00Z</dcterms:created>
  <dcterms:modified xsi:type="dcterms:W3CDTF">2020-11-03T07:13:00Z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